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社会团体业务主管单位的管理职责</w:t>
      </w:r>
    </w:p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黑体" w:eastAsia="黑体"/>
          <w:color w:val="auto"/>
          <w:sz w:val="32"/>
          <w:szCs w:val="32"/>
        </w:rPr>
      </w:pP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《社会团体登记管理条例》（国务院令第250号）和《民政部关于重新确认社会团体业务主管单位的通知》（民发</w:t>
      </w:r>
      <w:r>
        <w:rPr>
          <w:rFonts w:hint="eastAsia" w:ascii="仿宋_GB2312" w:hAnsi="仿宋_GB2312" w:eastAsia="仿宋_GB2312"/>
          <w:color w:val="auto"/>
          <w:sz w:val="28"/>
          <w:szCs w:val="28"/>
        </w:rPr>
        <w:t>[2000]41号）</w:t>
      </w:r>
      <w:r>
        <w:rPr>
          <w:rFonts w:hint="eastAsia" w:ascii="仿宋_GB2312" w:eastAsia="仿宋_GB2312"/>
          <w:color w:val="auto"/>
          <w:sz w:val="28"/>
          <w:szCs w:val="28"/>
        </w:rPr>
        <w:t>明确了社会团体业务主管的职责。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（一）负责社会团体筹备申请、成立登记、变更登记、注销登记前的审查；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（二）负责社会团体的思想政治工作、党的建设、财务和人事管理、研讨活动、对外交往、接受境外捐赠资助；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（三）监督、指导社会团体遵守宪法、法律、法规和国家政策，依据其章程开展活动；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（四）负责社会团体年度检查的初审；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（五）负责协助登记管理机关和其他有关部门查处社会团体的违法行为；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（六）会同有关机关指导社会团体的清算事宜。</w:t>
      </w:r>
    </w:p>
    <w:p>
      <w:pPr>
        <w:keepLines w:val="0"/>
        <w:widowControl/>
        <w:kinsoku/>
        <w:overflowPunct/>
        <w:topLinePunct w:val="0"/>
        <w:bidi w:val="0"/>
        <w:spacing w:line="240" w:lineRule="auto"/>
        <w:ind w:firstLine="6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以上内容已阅读，我们同意做其业务主管单位。</w:t>
      </w:r>
    </w:p>
    <w:p>
      <w:pPr>
        <w:keepLines w:val="0"/>
        <w:widowControl/>
        <w:kinsoku/>
        <w:overflowPunct/>
        <w:topLinePunct w:val="0"/>
        <w:bidi w:val="0"/>
        <w:spacing w:line="240" w:lineRule="auto"/>
        <w:ind w:firstLine="6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</w:p>
    <w:p>
      <w:pPr>
        <w:keepLines w:val="0"/>
        <w:widowControl/>
        <w:kinsoku/>
        <w:overflowPunct/>
        <w:topLinePunct w:val="0"/>
        <w:bidi w:val="0"/>
        <w:spacing w:line="240" w:lineRule="auto"/>
        <w:jc w:val="righ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业务主管单位（盖章）</w:t>
      </w:r>
    </w:p>
    <w:p>
      <w:pPr>
        <w:keepLines w:val="0"/>
        <w:widowControl/>
        <w:kinsoku/>
        <w:overflowPunct/>
        <w:topLinePunct w:val="0"/>
        <w:bidi w:val="0"/>
        <w:spacing w:line="240" w:lineRule="auto"/>
        <w:ind w:firstLine="4200" w:firstLineChars="15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</w:p>
    <w:p>
      <w:pPr>
        <w:keepLines w:val="0"/>
        <w:widowControl/>
        <w:kinsoku/>
        <w:overflowPunct/>
        <w:topLinePunct w:val="0"/>
        <w:bidi w:val="0"/>
        <w:spacing w:line="240" w:lineRule="auto"/>
        <w:jc w:val="righ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年   月    日</w:t>
      </w: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仿宋_GB2312" w:eastAsia="仿宋_GB2312"/>
          <w:b/>
          <w:bCs/>
          <w:color w:val="auto"/>
          <w:sz w:val="32"/>
          <w:szCs w:val="32"/>
          <w:lang w:val="en-GB"/>
        </w:rPr>
      </w:pP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bookmarkStart w:id="0" w:name="_GoBack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业务主管单位审查意见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color w:val="auto"/>
          <w:szCs w:val="21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焦作市民政局：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按照《社会团体登记管理条例》的要求，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筹备组于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年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月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日在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召开了□会员大会□、会员代表大会。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大会依照民主程序，通过了章程，民主选举产生了执行机构、负责人、法定代表人，确定了个人会员和单位会员，通过了收取会费标准的决议。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我们认为：大会和各项表决和选举，符合规定程序，选举结果真实有效，体现了全体会员的意愿。目前，协会的各项筹备工作已经全部完成，我们做为其业务主管单位，同意其向你局申请成立登记。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经办人签字：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GB"/>
        </w:rPr>
        <w:t xml:space="preserve">      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     电话：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主管科长签字：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主管局长签字：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7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 xml:space="preserve">  业务主管单位（章）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5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529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5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35"/>
        <w:textAlignment w:val="auto"/>
        <w:outlineLvl w:val="9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GB"/>
        </w:rPr>
        <w:t>说明：如果业务主管单位另外行文，可以将业务主管单位同意社会团体成立登记的文件粘贴附后。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64099"/>
    <w:rsid w:val="6A76409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2018-03-26T09:20:00Z</dcterms:created>
  <dc:creator>Administrator</dc:creator>
  <cp:lastModifiedBy>Administrator</cp:lastModifiedBy>
  <dcterms:modified xsi:type="dcterms:W3CDTF">2018-03-26T09:41:21Z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