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焦作市</w:t>
      </w:r>
      <w:r>
        <w:rPr>
          <w:rFonts w:hint="eastAsia" w:ascii="方正小标宋简体" w:hAnsi="方正小标宋简体" w:eastAsia="方正小标宋简体" w:cs="方正小标宋简体"/>
          <w:color w:val="auto"/>
          <w:sz w:val="32"/>
          <w:szCs w:val="32"/>
          <w:lang w:eastAsia="zh-CN"/>
        </w:rPr>
        <w:t>社会服务机构</w:t>
      </w:r>
      <w:r>
        <w:rPr>
          <w:rFonts w:hint="eastAsia" w:ascii="方正小标宋简体" w:hAnsi="方正小标宋简体" w:eastAsia="方正小标宋简体" w:cs="方正小标宋简体"/>
          <w:color w:val="auto"/>
          <w:sz w:val="32"/>
          <w:szCs w:val="32"/>
        </w:rPr>
        <w:t>注册登记承诺书</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880"/>
        <w:jc w:val="center"/>
        <w:textAlignment w:val="auto"/>
        <w:outlineLvl w:val="9"/>
        <w:rPr>
          <w:rFonts w:hint="eastAsia" w:ascii="方正小标宋简体" w:hAnsi="方正小标宋简体" w:eastAsia="方正小标宋简体" w:cs="方正小标宋简体"/>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我单位自觉遵守国务院</w:t>
      </w:r>
      <w:r>
        <w:rPr>
          <w:rFonts w:hint="eastAsia" w:ascii="仿宋_GB2312" w:hAnsi="仿宋_GB2312" w:eastAsia="仿宋_GB2312" w:cs="仿宋_GB2312"/>
          <w:color w:val="auto"/>
          <w:sz w:val="28"/>
          <w:szCs w:val="28"/>
          <w:lang w:eastAsia="zh-CN"/>
        </w:rPr>
        <w:t>《民办非企业</w:t>
      </w:r>
      <w:r>
        <w:rPr>
          <w:rFonts w:hint="eastAsia" w:ascii="仿宋_GB2312" w:hAnsi="仿宋_GB2312" w:eastAsia="仿宋_GB2312" w:cs="仿宋_GB2312"/>
          <w:color w:val="auto"/>
          <w:sz w:val="28"/>
          <w:szCs w:val="28"/>
        </w:rPr>
        <w:t>登记管理暂行条例》规定，依法建立财务和资产管理制度，并按照国家有关规定设置会计账簿，进行会计核算，建立财务公开制度，定期公示财务收支情况。举办者投入</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的收益和积累资金属于</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所有、由</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用于章程规定的事业、不得在出资人中分红。任何单位和个人对</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投入和捐赠资助的资产不得抽回；</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存续期间，所有资产由</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依法管</w:t>
      </w:r>
      <w:bookmarkStart w:id="0" w:name="_GoBack"/>
      <w:bookmarkEnd w:id="0"/>
      <w:r>
        <w:rPr>
          <w:rFonts w:hint="eastAsia" w:ascii="仿宋_GB2312" w:hAnsi="仿宋_GB2312" w:eastAsia="仿宋_GB2312" w:cs="仿宋_GB2312"/>
          <w:color w:val="auto"/>
          <w:sz w:val="28"/>
          <w:szCs w:val="28"/>
        </w:rPr>
        <w:t>理和使用，任何单位和个人不得侵占；</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不得为任何单位和个人提供担保；</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业务活动停止及依法办理注（撤）销登记后，所有剩余资产在业务主管单位和有关部门监督指导下用于发展同类的</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，不得挪作他用。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textAlignment w:val="auto"/>
        <w:outlineLvl w:val="9"/>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678"/>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承诺单位：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678"/>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承诺负责人（印）：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right"/>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outlineLvl w:val="9"/>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1A6AA6"/>
    <w:rsid w:val="0B1A6AA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2018-03-27T02:00:00Z</dcterms:created>
  <dc:creator>Administrator</dc:creator>
  <cp:lastModifiedBy>Administrator</cp:lastModifiedBy>
  <dcterms:modified xsi:type="dcterms:W3CDTF">2018-03-27T02:01:51Z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