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温县陈家沟景区管理局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温县陈家沟景区管理局单位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机构设置情况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温县陈家沟景区管理局成立于2009年，下设办公室、规划建设科、宣传科、综合管理科、博物馆五个科室。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356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（二）部门职责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温县陈家沟景区管理局主要做好太极拳文化产业建设，促进温县经济发展。负责景区旅游产业总体规划，以及景区项目建设与管理。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部门预算单位构成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我单位有二级机构0个，本预算为本级单位预算。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温县陈家沟景区管理局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人员减少使得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财政拨款相比减少。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温县陈家沟景区管理局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233.55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级财力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81.55万元，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温县陈家沟景区管理局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38.12%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61.88%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温县陈家沟景区管理局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233.55</w:t>
      </w:r>
      <w:r>
        <w:rPr>
          <w:rFonts w:hint="eastAsia" w:ascii="仿宋_GB2312" w:eastAsia="仿宋_GB2312"/>
          <w:sz w:val="32"/>
          <w:szCs w:val="32"/>
        </w:rPr>
        <w:t>万元。</w:t>
      </w:r>
      <w:r>
        <w:rPr>
          <w:rFonts w:hint="eastAsia" w:ascii="仿宋_GB2312" w:eastAsia="仿宋_GB2312"/>
          <w:sz w:val="32"/>
          <w:szCs w:val="32"/>
          <w:lang w:eastAsia="zh-CN"/>
        </w:rPr>
        <w:t>政府性基金预算收支预算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0万元，与2017年相比，</w:t>
      </w:r>
      <w:r>
        <w:rPr>
          <w:rFonts w:hint="eastAsia" w:ascii="仿宋_GB2312" w:eastAsia="仿宋_GB2312"/>
          <w:sz w:val="32"/>
          <w:szCs w:val="32"/>
        </w:rPr>
        <w:t>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4.41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1.9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人员减少；</w:t>
      </w:r>
      <w:r>
        <w:rPr>
          <w:rFonts w:hint="eastAsia" w:ascii="仿宋_GB2312" w:eastAsia="仿宋_GB2312"/>
          <w:sz w:val="32"/>
          <w:szCs w:val="32"/>
        </w:rPr>
        <w:t>政府性基金收支增加0万元，增长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2017比保持一致，无变化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温县陈家沟景区管理局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233.55</w:t>
      </w:r>
      <w:r>
        <w:rPr>
          <w:rFonts w:hint="eastAsia" w:ascii="仿宋_GB2312" w:eastAsia="仿宋_GB2312"/>
          <w:sz w:val="32"/>
          <w:szCs w:val="32"/>
        </w:rPr>
        <w:t>万元。主要用于以下方面：</w:t>
      </w:r>
      <w:r>
        <w:rPr>
          <w:rFonts w:hint="eastAsia" w:ascii="仿宋_GB2312" w:eastAsia="仿宋_GB2312"/>
          <w:sz w:val="32"/>
          <w:szCs w:val="32"/>
          <w:lang w:eastAsia="zh-CN"/>
        </w:rPr>
        <w:t>社会保障与就业支出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5.34%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医疗卫生与计划生育支出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1.89%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商业服务等支出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216.67万元，占比为92.77%。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温县陈家沟景区管理局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89.05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79.63</w:t>
      </w:r>
      <w:r>
        <w:rPr>
          <w:rFonts w:hint="eastAsia" w:ascii="仿宋_GB2312" w:eastAsia="仿宋_GB2312"/>
          <w:sz w:val="32"/>
          <w:szCs w:val="32"/>
        </w:rPr>
        <w:t>万元，基本工资、津贴补贴、绩效工资、机关事业单位基本养老保险缴费、医疗保险缴费、其他社会保障缴费；公用经费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9.42</w:t>
      </w:r>
      <w:r>
        <w:rPr>
          <w:rFonts w:hint="eastAsia" w:ascii="仿宋_GB2312" w:eastAsia="仿宋_GB2312"/>
          <w:sz w:val="32"/>
          <w:szCs w:val="32"/>
        </w:rPr>
        <w:t>万元，主要包括：办公费、邮电费、公务接待费、公务用车运行维护费。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温县陈家沟景区管理局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0万元，与2017年预算数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0万元，与2017年预算数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4万元，主要用于服务太极拳宣传、比赛等相关活动以及接送设计方面的专家团队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。预算数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与2017年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万元，主要用于太极拳的宣传活动，景区建设的招商引资项目，以及设计方面的专家团队等接待。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与2017年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，用于购置办公设备等。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,我单位对2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个项目进行了预算绩效评价，涉及资金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2018年，我单位部门预算纳入绩效管理的支出总额为233.55万元，其中人员经费支出79.63万元，公用经费支出9.42万元，支出项目共1个，支出总额144.5万元，其中预算支出30万元及以上应申报绩效的项目0个。</w:t>
      </w:r>
    </w:p>
    <w:p>
      <w:pPr>
        <w:pStyle w:val="3"/>
        <w:spacing w:line="600" w:lineRule="atLeast"/>
        <w:ind w:left="4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四）国有资产占用情况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温县陈家沟景区管理局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193.44</w:t>
      </w:r>
      <w:r>
        <w:rPr>
          <w:rFonts w:hint="eastAsia" w:ascii="仿宋_GB2312" w:eastAsia="仿宋_GB2312"/>
          <w:sz w:val="32"/>
          <w:szCs w:val="32"/>
        </w:rPr>
        <w:t>万元，其中，车辆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19.78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八、景区运营经费：用于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做好太极拳文化产业建设，促进温县经济发展。负责景区旅游产业总体规划，以及景区项目建设与管理等方面的支出。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温县陈家沟景区管理局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21423951">
    <w:nsid w:val="5AAF164F"/>
    <w:multiLevelType w:val="singleLevel"/>
    <w:tmpl w:val="5AAF164F"/>
    <w:lvl w:ilvl="0" w:tentative="1">
      <w:start w:val="2"/>
      <w:numFmt w:val="chineseCounting"/>
      <w:suff w:val="nothing"/>
      <w:lvlText w:val="%1、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  <w:num w:numId="2">
    <w:abstractNumId w:val="1520564614"/>
  </w:num>
  <w:num w:numId="3">
    <w:abstractNumId w:val="1521423951"/>
  </w:num>
  <w:num w:numId="4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2018-03-19T01:25:00Z</cp:lastPrinted>
  <dcterms:modified xsi:type="dcterms:W3CDTF">2019-03-17T08:49:27Z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