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2018</w:t>
      </w:r>
      <w:r>
        <w:rPr>
          <w:rFonts w:hint="eastAsia" w:ascii="方正小标宋简体" w:hAnsi="方正小标宋简体" w:eastAsia="方正小标宋简体" w:cs="方正小标宋简体"/>
          <w:color w:val="000000"/>
          <w:sz w:val="44"/>
          <w:szCs w:val="44"/>
        </w:rPr>
        <w:t>年度</w:t>
      </w:r>
      <w:r>
        <w:rPr>
          <w:rFonts w:hint="eastAsia" w:ascii="方正小标宋简体" w:hAnsi="方正小标宋简体" w:eastAsia="方正小标宋简体" w:cs="方正小标宋简体"/>
          <w:color w:val="000000"/>
          <w:sz w:val="44"/>
          <w:szCs w:val="44"/>
          <w:lang w:val="en-US" w:eastAsia="zh-CN"/>
        </w:rPr>
        <w:t>财政局</w:t>
      </w:r>
      <w:r>
        <w:rPr>
          <w:rFonts w:hint="eastAsia" w:ascii="方正小标宋简体" w:hAnsi="方正小标宋简体" w:eastAsia="方正小标宋简体" w:cs="方正小标宋简体"/>
          <w:color w:val="000000"/>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color w:val="000000"/>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color w:val="000000"/>
          <w:sz w:val="44"/>
          <w:szCs w:val="44"/>
        </w:rPr>
      </w:pPr>
      <w:r>
        <w:rPr>
          <w:rFonts w:hint="eastAsia" w:ascii="仿宋_GB2312" w:hAnsi="仿宋_GB2312" w:eastAsia="仿宋_GB2312" w:cs="仿宋_GB2312"/>
          <w:color w:val="000000"/>
          <w:sz w:val="44"/>
          <w:szCs w:val="44"/>
        </w:rPr>
        <w:t>目</w:t>
      </w:r>
      <w:r>
        <w:rPr>
          <w:rFonts w:hint="eastAsia" w:ascii="仿宋_GB2312" w:hAnsi="仿宋_GB2312" w:eastAsia="仿宋_GB2312" w:cs="仿宋_GB2312"/>
          <w:color w:val="000000"/>
          <w:spacing w:val="2"/>
          <w:sz w:val="44"/>
          <w:szCs w:val="44"/>
        </w:rPr>
        <w:t xml:space="preserve"> </w:t>
      </w:r>
      <w:r>
        <w:rPr>
          <w:rFonts w:hint="eastAsia" w:ascii="仿宋_GB2312" w:hAnsi="仿宋_GB2312" w:eastAsia="仿宋_GB2312" w:cs="仿宋_GB2312"/>
          <w:color w:val="000000"/>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color w:val="000000"/>
          <w:w w:val="99"/>
          <w:sz w:val="32"/>
          <w:szCs w:val="32"/>
        </w:rPr>
      </w:pPr>
      <w:r>
        <w:rPr>
          <w:rFonts w:hint="eastAsia" w:ascii="仿宋_GB2312" w:hAnsi="仿宋_GB2312" w:eastAsia="仿宋_GB2312" w:cs="仿宋_GB2312"/>
          <w:color w:val="000000"/>
          <w:sz w:val="32"/>
          <w:szCs w:val="32"/>
        </w:rPr>
        <w:t xml:space="preserve">第一部分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概况</w:t>
      </w:r>
      <w:r>
        <w:rPr>
          <w:rFonts w:hint="eastAsia" w:ascii="仿宋_GB2312" w:hAnsi="仿宋_GB2312" w:eastAsia="仿宋_GB2312" w:cs="仿宋_GB2312"/>
          <w:color w:val="000000"/>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w w:val="99"/>
          <w:sz w:val="32"/>
          <w:szCs w:val="32"/>
        </w:rPr>
      </w:pPr>
      <w:r>
        <w:rPr>
          <w:rFonts w:hint="eastAsia" w:ascii="仿宋_GB2312" w:hAnsi="仿宋_GB2312" w:eastAsia="仿宋_GB2312" w:cs="仿宋_GB2312"/>
          <w:color w:val="000000"/>
          <w:sz w:val="32"/>
          <w:szCs w:val="32"/>
        </w:rPr>
        <w:t>第二部分</w:t>
      </w:r>
      <w:r>
        <w:rPr>
          <w:rFonts w:hint="eastAsia" w:ascii="仿宋_GB2312" w:hAnsi="仿宋_GB2312" w:eastAsia="仿宋_GB2312" w:cs="仿宋_GB2312"/>
          <w:color w:val="000000"/>
          <w:spacing w:val="-38"/>
          <w:sz w:val="32"/>
          <w:szCs w:val="32"/>
          <w:lang w:val="en-US" w:eastAsia="zh-CN"/>
        </w:rPr>
        <w:t xml:space="preserve"> </w:t>
      </w:r>
      <w:r>
        <w:rPr>
          <w:rFonts w:hint="eastAsia" w:ascii="仿宋_GB2312" w:hAnsi="仿宋_GB2312" w:eastAsia="仿宋_GB2312" w:cs="仿宋_GB2312"/>
          <w:color w:val="000000"/>
          <w:spacing w:val="-119"/>
          <w:sz w:val="32"/>
          <w:szCs w:val="32"/>
        </w:rPr>
        <w:t xml:space="preserve"> </w:t>
      </w:r>
      <w:r>
        <w:rPr>
          <w:rFonts w:hint="eastAsia" w:ascii="仿宋_GB2312" w:hAnsi="仿宋_GB2312" w:eastAsia="仿宋_GB2312" w:cs="仿宋_GB2312"/>
          <w:color w:val="000000"/>
          <w:spacing w:val="-119"/>
          <w:sz w:val="32"/>
          <w:szCs w:val="32"/>
          <w:lang w:val="en-US" w:eastAsia="zh-CN"/>
        </w:rPr>
        <w:t xml:space="preserve">     </w:t>
      </w: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rPr>
        <w:t>年度部门预算情况说明</w:t>
      </w:r>
      <w:r>
        <w:rPr>
          <w:rFonts w:hint="eastAsia" w:ascii="仿宋_GB2312" w:hAnsi="仿宋_GB2312" w:eastAsia="仿宋_GB2312" w:cs="仿宋_GB2312"/>
          <w:color w:val="000000"/>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第三部分</w:t>
      </w:r>
      <w:r>
        <w:rPr>
          <w:rFonts w:hint="eastAsia" w:ascii="仿宋_GB2312" w:hAnsi="仿宋_GB2312" w:eastAsia="仿宋_GB2312" w:cs="仿宋_GB2312"/>
          <w:color w:val="000000"/>
          <w:spacing w:val="-32"/>
          <w:sz w:val="32"/>
          <w:szCs w:val="32"/>
        </w:rPr>
        <w:t xml:space="preserve"> </w:t>
      </w:r>
      <w:r>
        <w:rPr>
          <w:rFonts w:hint="eastAsia" w:ascii="仿宋_GB2312" w:hAnsi="仿宋_GB2312" w:eastAsia="仿宋_GB2312" w:cs="仿宋_GB2312"/>
          <w:color w:val="000000"/>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pacing w:val="-32"/>
          <w:sz w:val="32"/>
          <w:szCs w:val="32"/>
        </w:rPr>
        <w:t xml:space="preserve"> </w:t>
      </w:r>
      <w:r>
        <w:rPr>
          <w:rFonts w:hint="eastAsia" w:ascii="仿宋_GB2312" w:hAnsi="仿宋_GB2312" w:eastAsia="仿宋_GB2312" w:cs="仿宋_GB2312"/>
          <w:color w:val="000000"/>
          <w:sz w:val="32"/>
          <w:szCs w:val="32"/>
          <w:lang w:val="en-US" w:eastAsia="zh-CN"/>
        </w:rPr>
        <w:t xml:space="preserve"> 2018</w:t>
      </w:r>
      <w:r>
        <w:rPr>
          <w:rFonts w:hint="eastAsia" w:ascii="仿宋_GB2312" w:hAnsi="仿宋_GB2312" w:eastAsia="仿宋_GB2312" w:cs="仿宋_GB2312"/>
          <w:color w:val="000000"/>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十一、预算项目绩效目标申报表</w:t>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ab/>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lang w:val="en-US" w:eastAsia="zh-CN"/>
        </w:rPr>
      </w:pPr>
    </w:p>
    <w:p>
      <w:pPr>
        <w:kinsoku w:val="0"/>
        <w:overflowPunct w:val="0"/>
        <w:adjustRightInd w:val="0"/>
        <w:snapToGrid w:val="0"/>
        <w:spacing w:line="360" w:lineRule="auto"/>
        <w:ind w:right="521"/>
        <w:rPr>
          <w:rFonts w:hint="eastAsia" w:ascii="仿宋_GB2312" w:hAnsi="仿宋_GB2312" w:eastAsia="仿宋_GB2312" w:cs="仿宋_GB2312"/>
          <w:color w:val="000000"/>
          <w:sz w:val="32"/>
          <w:szCs w:val="32"/>
        </w:rPr>
      </w:pPr>
      <w:bookmarkStart w:id="0" w:name="_GoBack"/>
      <w:bookmarkEnd w:id="0"/>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方正小标宋简体" w:hAnsi="方正小标宋简体" w:eastAsia="方正小标宋简体" w:cs="方正小标宋简体"/>
          <w:color w:val="000000"/>
          <w:sz w:val="32"/>
          <w:szCs w:val="32"/>
          <w:lang w:val="en-US" w:eastAsia="zh-CN"/>
        </w:rPr>
        <w:t xml:space="preserve"> </w:t>
      </w:r>
      <w:r>
        <w:rPr>
          <w:rFonts w:hint="eastAsia" w:ascii="方正小标宋简体" w:hAnsi="方正小标宋简体" w:eastAsia="方正小标宋简体" w:cs="方正小标宋简体"/>
          <w:color w:val="000000"/>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val="en-US" w:eastAsia="zh-CN"/>
        </w:rPr>
        <w:t>财政局</w:t>
      </w:r>
      <w:r>
        <w:rPr>
          <w:rFonts w:hint="eastAsia" w:ascii="方正小标宋简体" w:hAnsi="方正小标宋简体" w:eastAsia="方正小标宋简体" w:cs="方正小标宋简体"/>
          <w:color w:val="000000"/>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color w:val="000000"/>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主要职能</w:t>
      </w:r>
    </w:p>
    <w:p>
      <w:pPr>
        <w:numPr>
          <w:numId w:val="0"/>
        </w:numPr>
        <w:kinsoku w:val="0"/>
        <w:wordWrap/>
        <w:overflowPunct w:val="0"/>
        <w:adjustRightInd w:val="0"/>
        <w:snapToGrid w:val="0"/>
        <w:spacing w:before="0" w:after="0" w:line="600" w:lineRule="exact"/>
        <w:ind w:leftChars="200" w:right="3569"/>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 （一）机构设置情况</w:t>
      </w:r>
    </w:p>
    <w:p>
      <w:pPr>
        <w:widowControl w:val="0"/>
        <w:wordWrap/>
        <w:adjustRightInd/>
        <w:snapToGrid/>
        <w:spacing w:before="0" w:after="0" w:line="592" w:lineRule="atLeast"/>
        <w:ind w:left="0" w:leftChars="0" w:right="0" w:firstLine="640" w:firstLineChars="200"/>
        <w:jc w:val="both"/>
        <w:textAlignment w:val="bottom"/>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办公室。</w:t>
      </w: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人事科。</w:t>
      </w: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rPr>
        <w:t>预算科。</w:t>
      </w: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国库科。</w:t>
      </w: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rPr>
        <w:t>行政事业科。</w:t>
      </w:r>
      <w:r>
        <w:rPr>
          <w:rFonts w:hint="eastAsia" w:ascii="仿宋" w:hAnsi="仿宋" w:eastAsia="仿宋" w:cs="仿宋"/>
          <w:b w:val="0"/>
          <w:bCs w:val="0"/>
          <w:color w:val="000000"/>
          <w:spacing w:val="1"/>
          <w:sz w:val="32"/>
          <w:szCs w:val="32"/>
          <w:lang w:val="en-US" w:eastAsia="zh-CN"/>
        </w:rPr>
        <w:t>6、</w:t>
      </w:r>
      <w:r>
        <w:rPr>
          <w:rFonts w:hint="eastAsia" w:ascii="仿宋" w:hAnsi="仿宋" w:eastAsia="仿宋" w:cs="仿宋"/>
          <w:b w:val="0"/>
          <w:bCs w:val="0"/>
          <w:color w:val="000000"/>
          <w:spacing w:val="1"/>
          <w:sz w:val="32"/>
          <w:szCs w:val="32"/>
        </w:rPr>
        <w:t>经济建设科。</w:t>
      </w:r>
      <w:r>
        <w:rPr>
          <w:rFonts w:hint="eastAsia" w:ascii="仿宋" w:hAnsi="仿宋" w:eastAsia="仿宋" w:cs="仿宋"/>
          <w:b w:val="0"/>
          <w:bCs w:val="0"/>
          <w:color w:val="000000"/>
          <w:sz w:val="32"/>
          <w:szCs w:val="32"/>
          <w:lang w:val="en-US" w:eastAsia="zh-CN"/>
        </w:rPr>
        <w:t>7、</w:t>
      </w:r>
      <w:r>
        <w:rPr>
          <w:rFonts w:hint="eastAsia" w:ascii="仿宋" w:hAnsi="仿宋" w:eastAsia="仿宋" w:cs="仿宋"/>
          <w:b w:val="0"/>
          <w:bCs w:val="0"/>
          <w:color w:val="000000"/>
          <w:sz w:val="32"/>
          <w:szCs w:val="32"/>
        </w:rPr>
        <w:t>农业科。</w:t>
      </w:r>
      <w:r>
        <w:rPr>
          <w:rFonts w:hint="eastAsia" w:ascii="仿宋" w:hAnsi="仿宋" w:eastAsia="仿宋" w:cs="仿宋"/>
          <w:b w:val="0"/>
          <w:bCs w:val="0"/>
          <w:color w:val="000000"/>
          <w:sz w:val="32"/>
          <w:szCs w:val="32"/>
          <w:lang w:val="en-US" w:eastAsia="zh-CN"/>
        </w:rPr>
        <w:t>8、</w:t>
      </w:r>
      <w:r>
        <w:rPr>
          <w:rFonts w:hint="eastAsia" w:ascii="仿宋" w:hAnsi="仿宋" w:eastAsia="仿宋" w:cs="仿宋"/>
          <w:b w:val="0"/>
          <w:bCs w:val="0"/>
          <w:color w:val="000000"/>
          <w:sz w:val="32"/>
          <w:szCs w:val="32"/>
        </w:rPr>
        <w:t>社会保障科。</w:t>
      </w:r>
      <w:r>
        <w:rPr>
          <w:rFonts w:hint="eastAsia" w:ascii="仿宋" w:hAnsi="仿宋" w:eastAsia="仿宋" w:cs="仿宋"/>
          <w:b w:val="0"/>
          <w:bCs w:val="0"/>
          <w:color w:val="000000"/>
          <w:sz w:val="32"/>
          <w:szCs w:val="32"/>
          <w:lang w:val="en-US" w:eastAsia="zh-CN"/>
        </w:rPr>
        <w:t>9、</w:t>
      </w:r>
      <w:r>
        <w:rPr>
          <w:rFonts w:hint="eastAsia" w:ascii="仿宋" w:hAnsi="仿宋" w:eastAsia="仿宋" w:cs="仿宋"/>
          <w:b w:val="0"/>
          <w:bCs w:val="0"/>
          <w:color w:val="000000"/>
          <w:sz w:val="32"/>
          <w:szCs w:val="32"/>
        </w:rPr>
        <w:t>政府采购管理办公室。</w:t>
      </w:r>
      <w:r>
        <w:rPr>
          <w:rFonts w:hint="eastAsia" w:ascii="仿宋" w:hAnsi="仿宋" w:eastAsia="仿宋" w:cs="仿宋"/>
          <w:b w:val="0"/>
          <w:bCs w:val="0"/>
          <w:color w:val="000000"/>
          <w:sz w:val="32"/>
          <w:szCs w:val="32"/>
          <w:lang w:val="en-US" w:eastAsia="zh-CN"/>
        </w:rPr>
        <w:t>10、</w:t>
      </w:r>
      <w:r>
        <w:rPr>
          <w:rFonts w:hint="eastAsia" w:ascii="仿宋" w:hAnsi="仿宋" w:eastAsia="仿宋" w:cs="仿宋"/>
          <w:b w:val="0"/>
          <w:bCs w:val="0"/>
          <w:color w:val="000000"/>
          <w:sz w:val="32"/>
          <w:szCs w:val="32"/>
        </w:rPr>
        <w:t>金融贸易科。</w:t>
      </w:r>
      <w:r>
        <w:rPr>
          <w:rFonts w:hint="eastAsia" w:ascii="仿宋" w:hAnsi="仿宋" w:eastAsia="仿宋" w:cs="仿宋"/>
          <w:b w:val="0"/>
          <w:bCs w:val="0"/>
          <w:color w:val="000000"/>
          <w:sz w:val="32"/>
          <w:szCs w:val="32"/>
          <w:lang w:val="en-US" w:eastAsia="zh-CN"/>
        </w:rPr>
        <w:t>11、</w:t>
      </w:r>
      <w:r>
        <w:rPr>
          <w:rFonts w:hint="eastAsia" w:ascii="仿宋" w:hAnsi="仿宋" w:eastAsia="仿宋" w:cs="仿宋"/>
          <w:b w:val="0"/>
          <w:bCs w:val="0"/>
          <w:color w:val="000000"/>
          <w:sz w:val="32"/>
          <w:szCs w:val="32"/>
        </w:rPr>
        <w:t>会计科。</w:t>
      </w:r>
      <w:r>
        <w:rPr>
          <w:rFonts w:hint="eastAsia" w:ascii="仿宋" w:hAnsi="仿宋" w:eastAsia="仿宋" w:cs="仿宋"/>
          <w:b w:val="0"/>
          <w:bCs w:val="0"/>
          <w:color w:val="000000"/>
          <w:sz w:val="32"/>
          <w:szCs w:val="32"/>
          <w:lang w:val="en-US" w:eastAsia="zh-CN"/>
        </w:rPr>
        <w:t>12、</w:t>
      </w:r>
      <w:r>
        <w:rPr>
          <w:rFonts w:hint="eastAsia" w:ascii="仿宋" w:hAnsi="仿宋" w:eastAsia="仿宋" w:cs="仿宋"/>
          <w:b w:val="0"/>
          <w:bCs w:val="0"/>
          <w:color w:val="000000"/>
          <w:sz w:val="32"/>
          <w:szCs w:val="32"/>
        </w:rPr>
        <w:t>国资办。</w:t>
      </w:r>
      <w:r>
        <w:rPr>
          <w:rFonts w:hint="eastAsia" w:ascii="仿宋" w:hAnsi="仿宋" w:eastAsia="仿宋" w:cs="仿宋"/>
          <w:b w:val="0"/>
          <w:bCs w:val="0"/>
          <w:color w:val="000000"/>
          <w:sz w:val="32"/>
          <w:szCs w:val="32"/>
          <w:lang w:val="en-US" w:eastAsia="zh-CN"/>
        </w:rPr>
        <w:t>13、</w:t>
      </w:r>
      <w:r>
        <w:rPr>
          <w:rFonts w:hint="eastAsia" w:ascii="仿宋" w:hAnsi="仿宋" w:eastAsia="仿宋" w:cs="仿宋"/>
          <w:b w:val="0"/>
          <w:bCs w:val="0"/>
          <w:color w:val="000000"/>
          <w:sz w:val="32"/>
          <w:szCs w:val="32"/>
        </w:rPr>
        <w:t>农业综合开发办公室。</w:t>
      </w:r>
      <w:r>
        <w:rPr>
          <w:rFonts w:hint="eastAsia" w:ascii="仿宋" w:hAnsi="仿宋" w:eastAsia="仿宋" w:cs="仿宋"/>
          <w:b w:val="0"/>
          <w:bCs w:val="0"/>
          <w:color w:val="000000"/>
          <w:sz w:val="32"/>
          <w:szCs w:val="32"/>
          <w:lang w:val="en-US" w:eastAsia="zh-CN"/>
        </w:rPr>
        <w:t>15、</w:t>
      </w:r>
      <w:r>
        <w:rPr>
          <w:rFonts w:hint="eastAsia" w:ascii="仿宋" w:hAnsi="仿宋" w:eastAsia="仿宋" w:cs="仿宋"/>
          <w:b w:val="0"/>
          <w:bCs w:val="0"/>
          <w:color w:val="000000"/>
          <w:sz w:val="32"/>
          <w:szCs w:val="32"/>
        </w:rPr>
        <w:t>债务科。</w:t>
      </w:r>
      <w:r>
        <w:rPr>
          <w:rFonts w:hint="eastAsia" w:ascii="仿宋" w:hAnsi="仿宋" w:eastAsia="仿宋" w:cs="仿宋"/>
          <w:b w:val="0"/>
          <w:bCs w:val="0"/>
          <w:color w:val="000000"/>
          <w:sz w:val="32"/>
          <w:szCs w:val="32"/>
          <w:lang w:val="en-US" w:eastAsia="zh-CN"/>
        </w:rPr>
        <w:t>16、</w:t>
      </w:r>
      <w:r>
        <w:rPr>
          <w:rFonts w:hint="eastAsia" w:ascii="仿宋" w:hAnsi="仿宋" w:eastAsia="仿宋" w:cs="仿宋"/>
          <w:b w:val="0"/>
          <w:bCs w:val="0"/>
          <w:color w:val="000000"/>
          <w:sz w:val="32"/>
          <w:szCs w:val="32"/>
        </w:rPr>
        <w:t>绩效评价科。</w:t>
      </w:r>
      <w:r>
        <w:rPr>
          <w:rFonts w:hint="eastAsia" w:ascii="仿宋" w:hAnsi="仿宋" w:eastAsia="仿宋" w:cs="仿宋"/>
          <w:b w:val="0"/>
          <w:bCs w:val="0"/>
          <w:color w:val="000000"/>
          <w:sz w:val="32"/>
          <w:szCs w:val="32"/>
          <w:lang w:val="en-US" w:eastAsia="zh-CN"/>
        </w:rPr>
        <w:t>17、温县财政计算机信息管理中心。18、</w:t>
      </w:r>
      <w:r>
        <w:rPr>
          <w:rFonts w:hint="eastAsia" w:ascii="仿宋" w:hAnsi="仿宋" w:eastAsia="仿宋" w:cs="仿宋"/>
          <w:b w:val="0"/>
          <w:bCs w:val="0"/>
          <w:color w:val="000000"/>
          <w:sz w:val="32"/>
          <w:szCs w:val="32"/>
          <w:lang w:eastAsia="zh-CN"/>
        </w:rPr>
        <w:t>温县财政项目资金评审中心。</w:t>
      </w:r>
      <w:r>
        <w:rPr>
          <w:rFonts w:hint="eastAsia" w:ascii="仿宋" w:hAnsi="仿宋" w:eastAsia="仿宋" w:cs="仿宋"/>
          <w:b w:val="0"/>
          <w:bCs w:val="0"/>
          <w:color w:val="000000"/>
          <w:sz w:val="32"/>
          <w:szCs w:val="32"/>
          <w:lang w:val="en-US" w:eastAsia="zh-CN"/>
        </w:rPr>
        <w:t>19、</w:t>
      </w:r>
      <w:r>
        <w:rPr>
          <w:rFonts w:hint="eastAsia" w:ascii="仿宋" w:hAnsi="仿宋" w:eastAsia="仿宋" w:cs="仿宋"/>
          <w:b w:val="0"/>
          <w:bCs w:val="0"/>
          <w:color w:val="000000"/>
          <w:sz w:val="32"/>
          <w:szCs w:val="32"/>
        </w:rPr>
        <w:t>会计集中核算中心</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20、</w:t>
      </w:r>
      <w:r>
        <w:rPr>
          <w:rFonts w:hint="eastAsia" w:ascii="仿宋" w:hAnsi="仿宋" w:eastAsia="仿宋" w:cs="仿宋"/>
          <w:b w:val="0"/>
          <w:bCs w:val="0"/>
          <w:color w:val="000000"/>
          <w:sz w:val="32"/>
          <w:szCs w:val="32"/>
          <w:lang w:eastAsia="zh-CN"/>
        </w:rPr>
        <w:t>财税监督局。</w:t>
      </w:r>
      <w:r>
        <w:rPr>
          <w:rFonts w:hint="eastAsia" w:ascii="仿宋" w:hAnsi="仿宋" w:eastAsia="仿宋" w:cs="仿宋"/>
          <w:b w:val="0"/>
          <w:bCs w:val="0"/>
          <w:color w:val="000000"/>
          <w:sz w:val="32"/>
          <w:szCs w:val="32"/>
          <w:lang w:val="en-US" w:eastAsia="zh-CN"/>
        </w:rPr>
        <w:t>21、</w:t>
      </w:r>
      <w:r>
        <w:rPr>
          <w:rFonts w:hint="eastAsia" w:ascii="仿宋" w:hAnsi="仿宋" w:eastAsia="仿宋" w:cs="仿宋"/>
          <w:b w:val="0"/>
          <w:bCs w:val="0"/>
          <w:color w:val="000000"/>
          <w:sz w:val="32"/>
          <w:szCs w:val="32"/>
        </w:rPr>
        <w:t>非税收入管理局</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22、</w:t>
      </w:r>
      <w:r>
        <w:rPr>
          <w:rFonts w:hint="eastAsia" w:ascii="仿宋_GB2312" w:hAnsi="仿宋_GB2312" w:eastAsia="仿宋_GB2312"/>
          <w:b w:val="0"/>
          <w:bCs w:val="0"/>
          <w:color w:val="000000"/>
          <w:spacing w:val="5"/>
          <w:sz w:val="32"/>
          <w:szCs w:val="32"/>
        </w:rPr>
        <w:t>国库支付中心</w:t>
      </w:r>
      <w:r>
        <w:rPr>
          <w:rFonts w:hint="eastAsia" w:ascii="仿宋_GB2312" w:hAnsi="仿宋_GB2312" w:eastAsia="仿宋_GB2312"/>
          <w:b w:val="0"/>
          <w:bCs w:val="0"/>
          <w:color w:val="000000"/>
          <w:spacing w:val="5"/>
          <w:sz w:val="32"/>
          <w:szCs w:val="32"/>
          <w:lang w:eastAsia="zh-CN"/>
        </w:rPr>
        <w:t>。</w:t>
      </w:r>
      <w:r>
        <w:rPr>
          <w:rFonts w:hint="eastAsia" w:ascii="仿宋" w:hAnsi="仿宋" w:eastAsia="仿宋" w:cs="仿宋"/>
          <w:b w:val="0"/>
          <w:bCs w:val="0"/>
          <w:color w:val="000000"/>
          <w:sz w:val="32"/>
          <w:szCs w:val="32"/>
          <w:lang w:val="en-US" w:eastAsia="zh-CN"/>
        </w:rPr>
        <w:t>23、温县职工住房公积金管理中心。</w:t>
      </w:r>
    </w:p>
    <w:p>
      <w:pPr>
        <w:kinsoku w:val="0"/>
        <w:wordWrap/>
        <w:overflowPunct w:val="0"/>
        <w:adjustRightInd w:val="0"/>
        <w:snapToGrid w:val="0"/>
        <w:spacing w:before="0" w:after="0" w:line="600" w:lineRule="exact"/>
        <w:ind w:right="3569"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（二）部门职责</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拟订全县财税发展战略、规划、政策和改革方案并组织实施，分析预测宏观经济形势，参与制定各项宏观经济政策，提出运用财税政策实施宏观调控和综合平衡社会财力的建议;拟订有关分配政策，完善鼓励公益事业发展的财税政策。</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拟订全县财政、财务、会计管理的规范性文件并组织实施，组织参加县政府涉外财政、债务等谈判与磋商，并草签有关协议。</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负责全县财政收支管理工作，承担县级财政收支管理的责任。负责编制年度县级财政预算草案并组织执行，受县政府委托向县人民代表大会报告全县和县级财政预算及其执行情况;负责编制全县年度财政决算草案并向县人大常委会报告;组织制定经费开支标准、定额，负责审核批复部门(单位)的年度预决算。完善转移支付制度。</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负责政府非税收入和政府性基金管理。编制年度县级政府性基金预算草案，汇总年度全县政府性基金预算;管理财政票据;负责全县的彩票监管工作，按规定管理彩票资金。</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组织制定全县财政国库管理制度、国库集中收付制度，指导和监督县级国库业务，按规定开展国库现金管理工作;负责制定政府采购制度，编制县级政府采购预算并监督管理。</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负责管理和监督县级行政、政法、城建、教育、科学、文化、体育等支出，按规定拟订全县行政事业单位财务管理制度和有关经费开支标准，监督行政事业单位财务管理制度的贯彻执行。</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负责管理和监督县级农业、林业、水利、扶贫等支出，研究提出支持农业发展的相关政策;按规定拟订全县农业综合开发政策和项目、资金、财务管理工作。</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制定促进全县经济发展的财政政策，负责监督管理县级财政经济发展支出;按规定制定全县基本建设财务制度;承担财政投资评审管理工作。</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负责管理和监督县级财政社会保障、就业及医疗卫生支出，会同有关部门拟订社会保障资金(基金)的财务管理制度，编制县级社会保障预决算草案。</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按规定会同地方税务部门共同起草地方性税收规范性文件，提出地方性税目税率调整和对全县财政影响较大的临时特案减免税的建议。负责全县契税、耕地占用税征收管理工作，指导全县乡镇财政建设工作。</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负责制定行政事业单位国有资产管理制度，并对执行情况进行监督检查。管理行政事业单位国有资产，制定资产配置标准和相关费用标准，编制县级行政事业单位国有资产购置预算，负责县级事业单位对外投资的审批和监督管理，负责全县财政预算内行政事业单位和社会团体的非贸易外汇管理。</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负责制定国有资本经营预算制度，编制县级国有资本经营预算，审核和汇总编制全县国有资本经营预决算草案，收取县本级企业国有资本收益，组织实施全县企业财务制度，参与拟订企业国有资产管理相关制度，按规定管理资产评估工作，监督管理公物拍卖。</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研究提出支持服务业发展和促进消费的财政政策;拟订商业流通、粮食、物资、供销企业的财务管理制度;承担有关政策性补贴和专项储备资金财政管理工作。</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承担地方金融类企业国有资产管理的有关工作，拟订地方金融类企业财务管理制度和地方政策性保险有关政策，按规定管理政策性金融业务。</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执行国家政府债务管理的政策和制度，管理全县的政府债务和以政府名义担保的国内外贷款、财政转贷的国外借款，并负责贷款协议签订后项目的资金、财务、债务管理及还本付息、付费工作;编制县级政府债务预算，防范财政风险。</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负责管理全县会计工作，监督和规范会计行为，组织实施国家统一的会计制度，组织上报会计师事务所的设立，指导和监督注册会计师、会计师事务所的业务，指导和管理社会审计。</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负责全县住房资金和国有土地资金的监督管理，参与全县住房制度和土地使用制度的拟订和实施，拟订并监督执行住房资金、国有土地收入收益财务管理、会计核算办法，指导监督有关部门管理住房资金，编制县级国有土地基金预算。</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监督检查财税法规、政策的执行情况，依法查处违法违规行为;反映财政收支管理中的重大问题，提出加强财政管理的政策建议。</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19、</w:t>
      </w:r>
      <w:r>
        <w:rPr>
          <w:rFonts w:hint="eastAsia" w:ascii="仿宋" w:hAnsi="仿宋" w:eastAsia="仿宋" w:cs="仿宋"/>
          <w:color w:val="000000"/>
          <w:sz w:val="32"/>
          <w:szCs w:val="32"/>
        </w:rPr>
        <w:t>承办法律、法规、规章规定的行政许可、审批、审核、核准等事项。</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承办县政府交办的其他事项。</w:t>
      </w:r>
    </w:p>
    <w:p>
      <w:pPr>
        <w:kinsoku w:val="0"/>
        <w:wordWrap/>
        <w:overflowPunct w:val="0"/>
        <w:adjustRightInd w:val="0"/>
        <w:snapToGrid w:val="0"/>
        <w:spacing w:before="0" w:after="0" w:line="600" w:lineRule="exact"/>
        <w:ind w:left="0" w:leftChars="0" w:right="3569" w:firstLine="640" w:firstLineChars="200"/>
        <w:jc w:val="left"/>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二、部门预算单位构成</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我单位有二级机构2个，本预算为汇总预算，纳入我单位2018年部门预算编报范围的预算单位有：</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1、非税收入管理局</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2、会计核算中心</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pacing w:val="-38"/>
          <w:sz w:val="32"/>
          <w:szCs w:val="32"/>
        </w:rPr>
      </w:pPr>
      <w:r>
        <w:rPr>
          <w:rFonts w:hint="eastAsia" w:ascii="方正小标宋简体" w:hAnsi="方正小标宋简体" w:eastAsia="方正小标宋简体" w:cs="方正小标宋简体"/>
          <w:color w:val="000000"/>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val="en-US" w:eastAsia="zh-CN"/>
        </w:rPr>
        <w:t xml:space="preserve"> </w:t>
      </w:r>
      <w:r>
        <w:rPr>
          <w:rFonts w:hint="eastAsia" w:ascii="方正小标宋简体" w:hAnsi="方正小标宋简体" w:eastAsia="方正小标宋简体" w:cs="方正小标宋简体"/>
          <w:color w:val="000000"/>
          <w:sz w:val="32"/>
          <w:szCs w:val="32"/>
        </w:rPr>
        <w:t>201</w:t>
      </w:r>
      <w:r>
        <w:rPr>
          <w:rFonts w:hint="eastAsia" w:ascii="方正小标宋简体" w:hAnsi="方正小标宋简体" w:eastAsia="方正小标宋简体" w:cs="方正小标宋简体"/>
          <w:color w:val="000000"/>
          <w:sz w:val="32"/>
          <w:szCs w:val="32"/>
          <w:lang w:val="en-US" w:eastAsia="zh-CN"/>
        </w:rPr>
        <w:t>8</w:t>
      </w:r>
      <w:r>
        <w:rPr>
          <w:rFonts w:hint="eastAsia" w:ascii="方正小标宋简体" w:hAnsi="方正小标宋简体" w:eastAsia="方正小标宋简体" w:cs="方正小标宋简体"/>
          <w:color w:val="000000"/>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color w:val="000000"/>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财政局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年收入</w:t>
      </w:r>
      <w:r>
        <w:rPr>
          <w:rFonts w:hint="eastAsia" w:ascii="仿宋_GB2312" w:hAnsi="仿宋_GB2312" w:eastAsia="仿宋_GB2312" w:cs="仿宋_GB2312"/>
          <w:color w:val="000000"/>
          <w:sz w:val="32"/>
          <w:szCs w:val="32"/>
          <w:lang w:eastAsia="zh-CN"/>
        </w:rPr>
        <w:t>总计</w:t>
      </w:r>
      <w:r>
        <w:rPr>
          <w:rFonts w:hint="eastAsia" w:ascii="仿宋_GB2312" w:hAnsi="仿宋_GB2312" w:eastAsia="仿宋_GB2312" w:cs="仿宋_GB2312"/>
          <w:color w:val="000000"/>
          <w:sz w:val="32"/>
          <w:szCs w:val="32"/>
          <w:lang w:val="en-US" w:eastAsia="zh-CN"/>
        </w:rPr>
        <w:t xml:space="preserve"> 1440.69</w:t>
      </w:r>
      <w:r>
        <w:rPr>
          <w:rFonts w:hint="eastAsia" w:ascii="仿宋_GB2312" w:hAnsi="仿宋_GB2312" w:eastAsia="仿宋_GB2312" w:cs="仿宋_GB2312"/>
          <w:color w:val="000000"/>
          <w:sz w:val="32"/>
          <w:szCs w:val="32"/>
        </w:rPr>
        <w:t>万元，支出总计</w:t>
      </w:r>
      <w:r>
        <w:rPr>
          <w:rFonts w:hint="eastAsia" w:ascii="仿宋_GB2312" w:hAnsi="仿宋_GB2312" w:eastAsia="仿宋_GB2312" w:cs="仿宋_GB2312"/>
          <w:color w:val="000000"/>
          <w:sz w:val="32"/>
          <w:szCs w:val="32"/>
          <w:lang w:val="en-US" w:eastAsia="zh-CN"/>
        </w:rPr>
        <w:t>1440.69</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年相比，收、支总计各增加</w:t>
      </w:r>
      <w:r>
        <w:rPr>
          <w:rFonts w:hint="eastAsia" w:ascii="仿宋_GB2312" w:hAnsi="仿宋_GB2312" w:eastAsia="仿宋_GB2312" w:cs="仿宋_GB2312"/>
          <w:color w:val="000000"/>
          <w:sz w:val="32"/>
          <w:szCs w:val="32"/>
          <w:lang w:val="en-US" w:eastAsia="zh-CN"/>
        </w:rPr>
        <w:t>162.44</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12.7%</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val="en-US" w:eastAsia="zh-CN"/>
        </w:rPr>
        <w:t>一是财政局人员工资调整增加形成，二是财政信息化方面部门预算、非税征收管理系统和乡镇财政所网络租金增加形成，三是安排购买非税票据工本费支出形成。</w:t>
      </w:r>
    </w:p>
    <w:p>
      <w:pPr>
        <w:wordWrap/>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财政局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年收入合计</w:t>
      </w:r>
      <w:r>
        <w:rPr>
          <w:rFonts w:hint="eastAsia" w:ascii="仿宋_GB2312" w:hAnsi="仿宋_GB2312" w:eastAsia="仿宋_GB2312" w:cs="仿宋_GB2312"/>
          <w:color w:val="000000"/>
          <w:sz w:val="32"/>
          <w:szCs w:val="32"/>
          <w:lang w:val="en-US" w:eastAsia="zh-CN"/>
        </w:rPr>
        <w:t>1440.69</w:t>
      </w:r>
      <w:r>
        <w:rPr>
          <w:rFonts w:hint="eastAsia" w:ascii="仿宋_GB2312" w:hAnsi="仿宋_GB2312" w:eastAsia="仿宋_GB2312" w:cs="仿宋_GB2312"/>
          <w:color w:val="000000"/>
          <w:sz w:val="32"/>
          <w:szCs w:val="32"/>
        </w:rPr>
        <w:t>万元，其中：一般公共预算</w:t>
      </w:r>
      <w:r>
        <w:rPr>
          <w:rFonts w:hint="eastAsia" w:ascii="仿宋_GB2312" w:hAnsi="仿宋_GB2312" w:eastAsia="仿宋_GB2312" w:cs="仿宋_GB2312"/>
          <w:color w:val="000000"/>
          <w:sz w:val="32"/>
          <w:szCs w:val="32"/>
          <w:lang w:eastAsia="zh-CN"/>
        </w:rPr>
        <w:t>合计</w:t>
      </w:r>
      <w:r>
        <w:rPr>
          <w:rFonts w:hint="eastAsia" w:ascii="仿宋_GB2312" w:hAnsi="仿宋_GB2312" w:eastAsia="仿宋_GB2312" w:cs="仿宋_GB2312"/>
          <w:color w:val="000000"/>
          <w:sz w:val="32"/>
          <w:szCs w:val="32"/>
          <w:lang w:val="en-US" w:eastAsia="zh-CN"/>
        </w:rPr>
        <w:t>1440.69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，本级财力</w:t>
      </w:r>
      <w:r>
        <w:rPr>
          <w:rFonts w:hint="eastAsia" w:ascii="仿宋_GB2312" w:hAnsi="仿宋_GB2312" w:eastAsia="仿宋_GB2312" w:cs="仿宋_GB2312"/>
          <w:color w:val="000000"/>
          <w:sz w:val="32"/>
          <w:szCs w:val="32"/>
          <w:lang w:val="en-US" w:eastAsia="zh-CN"/>
        </w:rPr>
        <w:t>1418.69万元，</w:t>
      </w:r>
      <w:r>
        <w:rPr>
          <w:rFonts w:hint="eastAsia" w:ascii="仿宋_GB2312" w:hAnsi="仿宋_GB2312" w:eastAsia="仿宋_GB2312" w:cs="仿宋_GB2312"/>
          <w:color w:val="000000"/>
          <w:sz w:val="32"/>
          <w:szCs w:val="32"/>
          <w:lang w:eastAsia="zh-CN"/>
        </w:rPr>
        <w:t>非税收入</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，上级转移支付收入</w:t>
      </w:r>
      <w:r>
        <w:rPr>
          <w:rFonts w:hint="eastAsia" w:ascii="仿宋_GB2312" w:hAnsi="仿宋_GB2312" w:eastAsia="仿宋_GB2312" w:cs="仿宋_GB2312"/>
          <w:color w:val="000000"/>
          <w:sz w:val="32"/>
          <w:szCs w:val="32"/>
          <w:lang w:val="en-US" w:eastAsia="zh-CN"/>
        </w:rPr>
        <w:t>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政府性基金收入</w:t>
      </w:r>
      <w:r>
        <w:rPr>
          <w:rFonts w:hint="eastAsia" w:ascii="仿宋_GB2312" w:hAnsi="仿宋_GB2312" w:eastAsia="仿宋_GB2312" w:cs="仿宋_GB2312"/>
          <w:color w:val="000000"/>
          <w:sz w:val="32"/>
          <w:szCs w:val="32"/>
          <w:lang w:val="en-US" w:eastAsia="zh-CN"/>
        </w:rPr>
        <w:t xml:space="preserve"> 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财政局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1440.69</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1108.69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eastAsia="zh-CN"/>
        </w:rPr>
        <w:t>比为</w:t>
      </w:r>
      <w:r>
        <w:rPr>
          <w:rFonts w:hint="eastAsia" w:ascii="仿宋_GB2312" w:hAnsi="仿宋_GB2312" w:eastAsia="仿宋_GB2312" w:cs="仿宋_GB2312"/>
          <w:color w:val="000000"/>
          <w:sz w:val="32"/>
          <w:szCs w:val="32"/>
          <w:lang w:val="en-US" w:eastAsia="zh-CN"/>
        </w:rPr>
        <w:t>76.96%</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332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eastAsia="zh-CN"/>
        </w:rPr>
        <w:t>比为</w:t>
      </w:r>
      <w:r>
        <w:rPr>
          <w:rFonts w:hint="eastAsia" w:ascii="仿宋_GB2312" w:hAnsi="仿宋_GB2312" w:eastAsia="仿宋_GB2312" w:cs="仿宋_GB2312"/>
          <w:color w:val="000000"/>
          <w:sz w:val="32"/>
          <w:szCs w:val="32"/>
          <w:lang w:val="en-US" w:eastAsia="zh-CN"/>
        </w:rPr>
        <w:t>23.04%</w:t>
      </w:r>
      <w:r>
        <w:rPr>
          <w:rFonts w:hint="eastAsia" w:ascii="仿宋_GB2312" w:hAnsi="仿宋_GB2312" w:eastAsia="仿宋_GB2312" w:cs="仿宋_GB2312"/>
          <w:color w:val="000000"/>
          <w:sz w:val="32"/>
          <w:szCs w:val="32"/>
        </w:rPr>
        <w:t>。</w:t>
      </w:r>
    </w:p>
    <w:p>
      <w:pPr>
        <w:pStyle w:val="5"/>
        <w:spacing w:line="600" w:lineRule="atLeast"/>
        <w:ind w:firstLine="640"/>
        <w:rPr>
          <w:rFonts w:ascii="黑体" w:hAnsi="黑体" w:eastAsia="黑体"/>
          <w:color w:val="000000"/>
          <w:sz w:val="32"/>
          <w:szCs w:val="32"/>
        </w:rPr>
      </w:pPr>
      <w:r>
        <w:rPr>
          <w:rFonts w:hint="eastAsia" w:ascii="黑体" w:hAnsi="黑体" w:eastAsia="黑体"/>
          <w:color w:val="000000"/>
          <w:sz w:val="32"/>
          <w:szCs w:val="32"/>
        </w:rPr>
        <w:t>四、财政拨款收入支出预算总体情况说明</w:t>
      </w:r>
    </w:p>
    <w:p>
      <w:pPr>
        <w:pStyle w:val="5"/>
        <w:spacing w:line="600" w:lineRule="atLeast"/>
        <w:ind w:firstLine="640"/>
        <w:rPr>
          <w:rFonts w:hint="eastAsia" w:ascii="仿宋_GB2312" w:eastAsia="仿宋_GB2312"/>
          <w:color w:val="000000"/>
          <w:sz w:val="32"/>
          <w:szCs w:val="32"/>
        </w:rPr>
      </w:pPr>
      <w:r>
        <w:rPr>
          <w:rFonts w:hint="eastAsia" w:ascii="仿宋_GB2312" w:eastAsia="仿宋_GB2312"/>
          <w:color w:val="000000"/>
          <w:sz w:val="32"/>
          <w:szCs w:val="32"/>
        </w:rPr>
        <w:t>财政局2018年一般公共预算收支预算1440.69万元。政府性基金收支预算0万元，与 2017年相比，一般公共预算收支预算增加</w:t>
      </w:r>
      <w:r>
        <w:rPr>
          <w:rFonts w:hint="eastAsia" w:ascii="仿宋_GB2312" w:eastAsia="仿宋_GB2312"/>
          <w:color w:val="000000"/>
          <w:sz w:val="32"/>
          <w:szCs w:val="32"/>
          <w:lang w:val="en-US" w:eastAsia="zh-CN"/>
        </w:rPr>
        <w:t>110.4435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8.3</w:t>
      </w:r>
      <w:r>
        <w:rPr>
          <w:rFonts w:hint="eastAsia" w:ascii="仿宋_GB2312" w:eastAsia="仿宋_GB2312"/>
          <w:color w:val="000000"/>
          <w:sz w:val="32"/>
          <w:szCs w:val="32"/>
        </w:rPr>
        <w:t>%，主要原因：一是财政局人员工资调整增加形成，二是财政信息化方面部门预算、非税征收管理系统和乡镇财政所网络租金增加形成，三是安排购买非税票据工本费支出增加；政府性基金收支增加0万元，增长</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2017比保持一致，无变化</w:t>
      </w:r>
      <w:r>
        <w:rPr>
          <w:rFonts w:hint="eastAsia" w:ascii="仿宋_GB2312" w:eastAsia="仿宋_GB2312"/>
          <w:color w:val="000000"/>
          <w:sz w:val="32"/>
          <w:szCs w:val="32"/>
        </w:rPr>
        <w:t>。</w:t>
      </w:r>
    </w:p>
    <w:p>
      <w:pPr>
        <w:pStyle w:val="5"/>
        <w:spacing w:line="600" w:lineRule="atLeast"/>
        <w:ind w:firstLine="640"/>
        <w:rPr>
          <w:rFonts w:hint="eastAsia" w:ascii="黑体" w:hAnsi="黑体" w:eastAsia="黑体"/>
          <w:color w:val="000000"/>
          <w:sz w:val="32"/>
          <w:szCs w:val="32"/>
        </w:rPr>
      </w:pPr>
      <w:r>
        <w:rPr>
          <w:rFonts w:hint="eastAsia" w:ascii="黑体" w:hAnsi="黑体" w:eastAsia="黑体"/>
          <w:color w:val="000000"/>
          <w:sz w:val="32"/>
          <w:szCs w:val="32"/>
        </w:rPr>
        <w:t>五、一般公共预算支出预算情况说明</w:t>
      </w:r>
    </w:p>
    <w:p>
      <w:pPr>
        <w:pStyle w:val="5"/>
        <w:spacing w:line="600" w:lineRule="atLeast"/>
        <w:ind w:firstLine="640"/>
        <w:rPr>
          <w:rFonts w:hint="eastAsia" w:ascii="仿宋_GB2312" w:eastAsia="仿宋_GB2312"/>
          <w:color w:val="000000"/>
          <w:sz w:val="32"/>
          <w:szCs w:val="32"/>
        </w:rPr>
      </w:pPr>
      <w:r>
        <w:rPr>
          <w:rFonts w:hint="eastAsia" w:ascii="仿宋_GB2312" w:eastAsia="仿宋_GB2312"/>
          <w:color w:val="000000"/>
          <w:sz w:val="32"/>
          <w:szCs w:val="32"/>
        </w:rPr>
        <w:t>财政局2018年一般公共预算支出年初预算为1440.69万元。主要用于以下方面：一般公共服务支出1257.9万元，占87.31%；社会保障和就业支出134.87万元，占9.36%；医疗卫生与计划生育支出47.92万元，占3.33%。</w:t>
      </w:r>
    </w:p>
    <w:p>
      <w:pPr>
        <w:pStyle w:val="5"/>
        <w:spacing w:line="600" w:lineRule="atLeast"/>
        <w:ind w:firstLine="640"/>
        <w:rPr>
          <w:rFonts w:hint="eastAsia" w:ascii="黑体" w:hAnsi="黑体" w:eastAsia="黑体"/>
          <w:color w:val="000000"/>
          <w:sz w:val="32"/>
          <w:szCs w:val="32"/>
        </w:rPr>
      </w:pPr>
      <w:r>
        <w:rPr>
          <w:rFonts w:hint="eastAsia" w:ascii="黑体" w:hAnsi="黑体" w:eastAsia="黑体"/>
          <w:color w:val="000000"/>
          <w:sz w:val="32"/>
          <w:szCs w:val="32"/>
        </w:rPr>
        <w:t>六、一般公共预算基本支出预算情况说明</w:t>
      </w:r>
    </w:p>
    <w:p>
      <w:pPr>
        <w:pStyle w:val="5"/>
        <w:spacing w:line="600" w:lineRule="atLeast"/>
        <w:ind w:firstLine="640"/>
        <w:rPr>
          <w:rFonts w:hint="eastAsia" w:ascii="仿宋_GB2312" w:eastAsia="仿宋_GB2312"/>
          <w:color w:val="000000"/>
          <w:sz w:val="32"/>
          <w:szCs w:val="32"/>
        </w:rPr>
      </w:pPr>
      <w:r>
        <w:rPr>
          <w:rFonts w:hint="eastAsia" w:ascii="仿宋_GB2312" w:eastAsia="仿宋_GB2312"/>
          <w:color w:val="000000"/>
          <w:sz w:val="32"/>
          <w:szCs w:val="32"/>
        </w:rPr>
        <w:t>财政局2018年一般公共预算基本支出1108.69万元，其中：人员经费1053.55万元，</w:t>
      </w:r>
      <w:r>
        <w:rPr>
          <w:rFonts w:hint="eastAsia" w:ascii="仿宋_GB2312" w:eastAsia="仿宋_GB2312"/>
          <w:color w:val="000000"/>
          <w:sz w:val="32"/>
          <w:szCs w:val="32"/>
          <w:lang w:eastAsia="zh-CN"/>
        </w:rPr>
        <w:t>主要包括：</w:t>
      </w:r>
      <w:r>
        <w:rPr>
          <w:rFonts w:hint="eastAsia" w:ascii="仿宋_GB2312" w:eastAsia="仿宋_GB2312"/>
          <w:color w:val="000000"/>
          <w:sz w:val="32"/>
          <w:szCs w:val="32"/>
        </w:rPr>
        <w:t>基本工资、津贴补贴、绩效工资、机关事业单位基本养老保险缴费、医疗保险缴费、其他社会保障缴费、其他工资福利支出；公用经费55.14万元，主要包括：办公费</w:t>
      </w:r>
      <w:r>
        <w:rPr>
          <w:rFonts w:hint="eastAsia" w:ascii="仿宋_GB2312" w:eastAsia="仿宋_GB2312"/>
          <w:color w:val="000000"/>
          <w:sz w:val="32"/>
          <w:szCs w:val="32"/>
          <w:lang w:eastAsia="zh-CN"/>
        </w:rPr>
        <w:t>、</w:t>
      </w:r>
      <w:r>
        <w:rPr>
          <w:rFonts w:hint="eastAsia" w:ascii="仿宋_GB2312" w:eastAsia="仿宋_GB2312"/>
          <w:color w:val="000000"/>
          <w:sz w:val="32"/>
          <w:szCs w:val="32"/>
        </w:rPr>
        <w:t>公务用车运行维护费、其他交通费用</w:t>
      </w:r>
      <w:r>
        <w:rPr>
          <w:rFonts w:hint="eastAsia" w:ascii="仿宋_GB2312" w:eastAsia="仿宋_GB2312"/>
          <w:color w:val="000000"/>
          <w:sz w:val="32"/>
          <w:szCs w:val="32"/>
          <w:lang w:eastAsia="zh-CN"/>
        </w:rPr>
        <w:t>。</w:t>
      </w:r>
      <w:r>
        <w:rPr>
          <w:rFonts w:hint="eastAsia" w:ascii="仿宋_GB2312" w:eastAsia="仿宋_GB2312"/>
          <w:color w:val="000000"/>
          <w:sz w:val="32"/>
          <w:szCs w:val="32"/>
        </w:rPr>
        <w:t>（此处单位根据实际情况选列）</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七</w:t>
      </w:r>
      <w:r>
        <w:rPr>
          <w:rFonts w:hint="eastAsia" w:ascii="黑体" w:hAnsi="黑体" w:eastAsia="黑体" w:cs="黑体"/>
          <w:color w:val="000000"/>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财政局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 xml:space="preserve"> 年“三公”经费预算为</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万元。201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年“三公”经费支出预算数比 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年预算数</w:t>
      </w:r>
      <w:r>
        <w:rPr>
          <w:rFonts w:hint="eastAsia" w:ascii="仿宋_GB2312" w:hAnsi="仿宋_GB2312" w:eastAsia="仿宋_GB2312" w:cs="仿宋_GB2312"/>
          <w:color w:val="000000"/>
          <w:sz w:val="32"/>
          <w:szCs w:val="32"/>
          <w:lang w:eastAsia="zh-CN"/>
        </w:rPr>
        <w:t>持平</w:t>
      </w:r>
      <w:r>
        <w:rPr>
          <w:rFonts w:hint="eastAsia" w:ascii="仿宋_GB2312" w:hAnsi="仿宋_GB2312" w:eastAsia="仿宋_GB2312" w:cs="仿宋_GB2312"/>
          <w:color w:val="000000"/>
          <w:sz w:val="32"/>
          <w:szCs w:val="32"/>
        </w:rPr>
        <w:t>。</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具体支出情况如下：</w:t>
      </w:r>
    </w:p>
    <w:p>
      <w:pPr>
        <w:numPr>
          <w:ilvl w:val="0"/>
          <w:numId w:val="2"/>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pacing w:val="-1"/>
          <w:kern w:val="0"/>
          <w:sz w:val="32"/>
          <w:szCs w:val="32"/>
        </w:rPr>
        <w:t>因公出国（境）费</w:t>
      </w:r>
      <w:r>
        <w:rPr>
          <w:rFonts w:hint="eastAsia" w:ascii="仿宋_GB2312" w:hAnsi="仿宋_GB2312" w:eastAsia="仿宋_GB2312" w:cs="仿宋_GB2312"/>
          <w:color w:val="000000"/>
          <w:sz w:val="32"/>
          <w:szCs w:val="32"/>
          <w:lang w:val="en-US" w:eastAsia="zh-CN"/>
        </w:rPr>
        <w:t xml:space="preserve"> 0万元,与2017年预算数持平。增长0%。</w:t>
      </w:r>
    </w:p>
    <w:p>
      <w:pPr>
        <w:numPr>
          <w:ilvl w:val="0"/>
          <w:numId w:val="2"/>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pacing w:val="-1"/>
          <w:kern w:val="0"/>
          <w:sz w:val="32"/>
          <w:szCs w:val="32"/>
        </w:rPr>
        <w:t>公务用车购置及运行费</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kern w:val="0"/>
          <w:sz w:val="32"/>
          <w:szCs w:val="32"/>
        </w:rPr>
        <w:t>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。其中公务车辆购置费</w:t>
      </w:r>
      <w:r>
        <w:rPr>
          <w:rFonts w:hint="eastAsia" w:ascii="仿宋_GB2312" w:hAnsi="仿宋_GB2312" w:eastAsia="仿宋_GB2312" w:cs="仿宋_GB2312"/>
          <w:color w:val="000000"/>
          <w:sz w:val="32"/>
          <w:szCs w:val="32"/>
          <w:lang w:val="en-US" w:eastAsia="zh-CN"/>
        </w:rPr>
        <w:t>0万元，与2017年预算数持平，增长0%。</w:t>
      </w:r>
      <w:r>
        <w:rPr>
          <w:rFonts w:hint="eastAsia" w:ascii="仿宋_GB2312" w:hAnsi="仿宋_GB2312" w:eastAsia="仿宋_GB2312" w:cs="仿宋_GB2312"/>
          <w:color w:val="000000"/>
          <w:sz w:val="32"/>
          <w:szCs w:val="32"/>
          <w:lang w:eastAsia="zh-CN"/>
        </w:rPr>
        <w:t>公车运行维护费</w:t>
      </w:r>
      <w:r>
        <w:rPr>
          <w:rFonts w:hint="eastAsia" w:ascii="仿宋_GB2312" w:hAnsi="仿宋_GB2312" w:eastAsia="仿宋_GB2312" w:cs="仿宋_GB2312"/>
          <w:color w:val="000000"/>
          <w:sz w:val="32"/>
          <w:szCs w:val="32"/>
          <w:lang w:val="en-US" w:eastAsia="zh-CN"/>
        </w:rPr>
        <w:t>15万元，主要用于外出参加财政政策培训，下乡，财政项目评审以及开展调研工作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与2017年预算数持平，增长0%。</w:t>
      </w:r>
    </w:p>
    <w:p>
      <w:pPr>
        <w:wordWrap/>
        <w:spacing w:before="0" w:after="0" w:line="600" w:lineRule="exact"/>
        <w:ind w:left="0" w:leftChars="0" w:firstLine="639" w:firstLineChars="200"/>
        <w:textAlignment w:val="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pacing w:val="-1"/>
          <w:kern w:val="0"/>
          <w:sz w:val="32"/>
          <w:szCs w:val="32"/>
        </w:rPr>
        <w:t>（三）公务接待费</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万元，主要用于接待省市有关部门及县委政府来我局开展调研、检查、审计等工作。</w:t>
      </w:r>
      <w:r>
        <w:rPr>
          <w:rFonts w:hint="eastAsia" w:ascii="仿宋_GB2312" w:hAnsi="仿宋_GB2312" w:eastAsia="仿宋_GB2312" w:cs="仿宋_GB2312"/>
          <w:color w:val="000000"/>
          <w:sz w:val="32"/>
          <w:szCs w:val="32"/>
          <w:lang w:eastAsia="zh-CN"/>
        </w:rPr>
        <w:t>预算数</w:t>
      </w:r>
      <w:r>
        <w:rPr>
          <w:rFonts w:hint="eastAsia" w:ascii="仿宋_GB2312" w:hAnsi="仿宋_GB2312" w:eastAsia="仿宋_GB2312" w:cs="仿宋_GB2312"/>
          <w:color w:val="000000"/>
          <w:sz w:val="32"/>
          <w:szCs w:val="32"/>
          <w:lang w:val="en-US" w:eastAsia="zh-CN"/>
        </w:rPr>
        <w:t>与2017年持平。增长0%。</w:t>
      </w:r>
    </w:p>
    <w:p>
      <w:pPr>
        <w:wordWrap/>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kern w:val="0"/>
          <w:sz w:val="32"/>
          <w:szCs w:val="32"/>
          <w:lang w:eastAsia="zh-CN"/>
        </w:rPr>
        <w:t>八、</w:t>
      </w:r>
      <w:r>
        <w:rPr>
          <w:rFonts w:hint="eastAsia" w:ascii="黑体" w:hAnsi="黑体" w:eastAsia="黑体" w:cs="黑体"/>
          <w:color w:val="000000"/>
          <w:kern w:val="0"/>
          <w:sz w:val="32"/>
          <w:szCs w:val="32"/>
        </w:rPr>
        <w:t>政府性基金预算支出</w:t>
      </w:r>
      <w:r>
        <w:rPr>
          <w:rFonts w:hint="eastAsia" w:ascii="黑体" w:hAnsi="黑体" w:eastAsia="黑体" w:cs="黑体"/>
          <w:color w:val="000000"/>
          <w:kern w:val="0"/>
          <w:sz w:val="32"/>
          <w:szCs w:val="32"/>
          <w:lang w:val="en-US" w:eastAsia="zh-CN"/>
        </w:rPr>
        <w:t>预算</w:t>
      </w:r>
      <w:r>
        <w:rPr>
          <w:rFonts w:hint="eastAsia" w:ascii="黑体" w:hAnsi="黑体" w:eastAsia="黑体" w:cs="黑体"/>
          <w:color w:val="000000"/>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我单位</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年没有使用政府性基金预算拨款安排的</w:t>
      </w:r>
      <w:r>
        <w:rPr>
          <w:rFonts w:hint="eastAsia" w:ascii="仿宋_GB2312" w:hAnsi="仿宋_GB2312" w:eastAsia="仿宋_GB2312" w:cs="仿宋_GB2312"/>
          <w:color w:val="000000"/>
          <w:sz w:val="32"/>
          <w:szCs w:val="32"/>
          <w:lang w:eastAsia="zh-CN"/>
        </w:rPr>
        <w:t>收支</w:t>
      </w:r>
      <w:r>
        <w:rPr>
          <w:rFonts w:hint="eastAsia" w:ascii="仿宋_GB2312" w:hAnsi="仿宋_GB2312" w:eastAsia="仿宋_GB2312" w:cs="仿宋_GB2312"/>
          <w:color w:val="000000"/>
          <w:sz w:val="32"/>
          <w:szCs w:val="32"/>
        </w:rPr>
        <w:t>。</w:t>
      </w:r>
    </w:p>
    <w:p>
      <w:pPr>
        <w:wordWrap/>
        <w:spacing w:before="0" w:after="0" w:line="600" w:lineRule="exact"/>
        <w:ind w:left="0" w:leftChars="0"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sz w:val="32"/>
          <w:szCs w:val="32"/>
          <w:lang w:eastAsia="zh-CN"/>
        </w:rPr>
        <w:t>九、</w:t>
      </w:r>
      <w:r>
        <w:rPr>
          <w:rFonts w:hint="eastAsia" w:ascii="黑体" w:hAnsi="黑体" w:eastAsia="黑体" w:cs="黑体"/>
          <w:color w:val="000000"/>
          <w:kern w:val="0"/>
          <w:sz w:val="32"/>
          <w:szCs w:val="32"/>
          <w:lang w:eastAsia="zh-CN"/>
        </w:rPr>
        <w:t>国有资本经营</w:t>
      </w:r>
      <w:r>
        <w:rPr>
          <w:rFonts w:hint="eastAsia" w:ascii="黑体" w:hAnsi="黑体" w:eastAsia="黑体" w:cs="黑体"/>
          <w:color w:val="000000"/>
          <w:kern w:val="0"/>
          <w:sz w:val="32"/>
          <w:szCs w:val="32"/>
        </w:rPr>
        <w:t>预算支出</w:t>
      </w:r>
      <w:r>
        <w:rPr>
          <w:rFonts w:hint="eastAsia" w:ascii="黑体" w:hAnsi="黑体" w:eastAsia="黑体" w:cs="黑体"/>
          <w:color w:val="000000"/>
          <w:kern w:val="0"/>
          <w:sz w:val="32"/>
          <w:szCs w:val="32"/>
          <w:lang w:eastAsia="zh-CN"/>
        </w:rPr>
        <w:t>预算</w:t>
      </w:r>
      <w:r>
        <w:rPr>
          <w:rFonts w:hint="eastAsia" w:ascii="黑体" w:hAnsi="黑体" w:eastAsia="黑体" w:cs="黑体"/>
          <w:color w:val="000000"/>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我单位</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年没有使用</w:t>
      </w:r>
      <w:r>
        <w:rPr>
          <w:rFonts w:hint="eastAsia" w:ascii="仿宋_GB2312" w:hAnsi="仿宋_GB2312" w:eastAsia="仿宋_GB2312" w:cs="仿宋_GB2312"/>
          <w:color w:val="000000"/>
          <w:sz w:val="32"/>
          <w:szCs w:val="32"/>
          <w:lang w:eastAsia="zh-CN"/>
        </w:rPr>
        <w:t>国有资本经营</w:t>
      </w:r>
      <w:r>
        <w:rPr>
          <w:rFonts w:hint="eastAsia" w:ascii="仿宋_GB2312" w:hAnsi="仿宋_GB2312" w:eastAsia="仿宋_GB2312" w:cs="仿宋_GB2312"/>
          <w:color w:val="000000"/>
          <w:sz w:val="32"/>
          <w:szCs w:val="32"/>
        </w:rPr>
        <w:t>预算拨款安排的</w:t>
      </w:r>
      <w:r>
        <w:rPr>
          <w:rFonts w:hint="eastAsia" w:ascii="仿宋_GB2312" w:hAnsi="仿宋_GB2312" w:eastAsia="仿宋_GB2312" w:cs="仿宋_GB2312"/>
          <w:color w:val="000000"/>
          <w:sz w:val="32"/>
          <w:szCs w:val="32"/>
          <w:lang w:eastAsia="zh-CN"/>
        </w:rPr>
        <w:t>收支</w:t>
      </w:r>
      <w:r>
        <w:rPr>
          <w:rFonts w:hint="eastAsia" w:ascii="仿宋_GB2312" w:hAnsi="仿宋_GB2312" w:eastAsia="仿宋_GB2312" w:cs="仿宋_GB2312"/>
          <w:color w:val="000000"/>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pacing w:val="-1"/>
          <w:kern w:val="0"/>
          <w:sz w:val="32"/>
          <w:szCs w:val="32"/>
          <w:lang w:eastAsia="zh-CN"/>
        </w:rPr>
        <w:t>十</w:t>
      </w:r>
      <w:r>
        <w:rPr>
          <w:rFonts w:hint="eastAsia" w:ascii="黑体" w:hAnsi="黑体" w:eastAsia="黑体" w:cs="黑体"/>
          <w:color w:val="000000"/>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color w:val="000000"/>
          <w:sz w:val="32"/>
          <w:szCs w:val="32"/>
        </w:rPr>
      </w:pPr>
      <w:r>
        <w:rPr>
          <w:rFonts w:hint="eastAsia" w:ascii="楷体" w:hAnsi="楷体" w:eastAsia="楷体" w:cs="楷体"/>
          <w:b w:val="0"/>
          <w:bCs/>
          <w:color w:val="000000"/>
          <w:kern w:val="0"/>
          <w:sz w:val="32"/>
          <w:szCs w:val="32"/>
          <w:lang w:val="en-US" w:eastAsia="zh-CN"/>
        </w:rPr>
        <w:t xml:space="preserve">   </w:t>
      </w:r>
      <w:r>
        <w:rPr>
          <w:rFonts w:hint="eastAsia" w:ascii="楷体" w:hAnsi="楷体" w:eastAsia="楷体" w:cs="楷体"/>
          <w:b w:val="0"/>
          <w:bCs/>
          <w:color w:val="000000"/>
          <w:kern w:val="0"/>
          <w:sz w:val="32"/>
          <w:szCs w:val="32"/>
        </w:rPr>
        <w:t>（一）</w:t>
      </w:r>
      <w:r>
        <w:rPr>
          <w:rFonts w:hint="eastAsia" w:ascii="楷体" w:hAnsi="楷体" w:eastAsia="楷体" w:cs="楷体"/>
          <w:b w:val="0"/>
          <w:bCs/>
          <w:color w:val="000000"/>
          <w:kern w:val="0"/>
          <w:sz w:val="32"/>
          <w:szCs w:val="32"/>
          <w:lang w:eastAsia="zh-CN"/>
        </w:rPr>
        <w:t>机关运行经费</w:t>
      </w:r>
      <w:r>
        <w:rPr>
          <w:rFonts w:hint="eastAsia" w:ascii="楷体" w:hAnsi="楷体" w:eastAsia="楷体" w:cs="楷体"/>
          <w:b w:val="0"/>
          <w:bCs/>
          <w:color w:val="000000"/>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机关运行经费</w:t>
      </w:r>
      <w:r>
        <w:rPr>
          <w:rFonts w:hint="eastAsia" w:ascii="仿宋_GB2312" w:hAnsi="仿宋_GB2312" w:eastAsia="仿宋_GB2312" w:cs="仿宋_GB2312"/>
          <w:color w:val="000000"/>
          <w:sz w:val="32"/>
          <w:szCs w:val="32"/>
        </w:rPr>
        <w:t>预算</w:t>
      </w:r>
      <w:r>
        <w:rPr>
          <w:rFonts w:hint="eastAsia" w:ascii="仿宋_GB2312" w:hAnsi="仿宋_GB2312" w:eastAsia="仿宋_GB2312" w:cs="仿宋_GB2312"/>
          <w:color w:val="000000"/>
          <w:sz w:val="32"/>
          <w:szCs w:val="32"/>
          <w:lang w:val="en-US" w:eastAsia="zh-CN"/>
        </w:rPr>
        <w:t>55.14</w:t>
      </w:r>
      <w:r>
        <w:rPr>
          <w:rFonts w:hint="eastAsia" w:ascii="仿宋_GB2312" w:hAnsi="仿宋_GB2312" w:eastAsia="仿宋_GB2312" w:cs="仿宋_GB2312"/>
          <w:color w:val="000000"/>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lang w:val="en-US" w:eastAsia="zh-CN"/>
        </w:rPr>
        <w:t xml:space="preserve">   </w:t>
      </w:r>
      <w:r>
        <w:rPr>
          <w:rFonts w:hint="eastAsia" w:ascii="楷体" w:hAnsi="楷体" w:eastAsia="楷体" w:cs="楷体"/>
          <w:b w:val="0"/>
          <w:bCs/>
          <w:color w:val="000000"/>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年政府采购预算安排</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sz w:val="32"/>
          <w:szCs w:val="32"/>
          <w:lang w:eastAsia="zh-CN"/>
        </w:rPr>
        <w:t>主要是</w:t>
      </w:r>
      <w:r>
        <w:rPr>
          <w:rFonts w:hint="eastAsia" w:ascii="仿宋_GB2312" w:hAnsi="仿宋_GB2312" w:eastAsia="仿宋_GB2312" w:cs="仿宋_GB2312"/>
          <w:color w:val="000000"/>
          <w:sz w:val="32"/>
          <w:szCs w:val="32"/>
          <w:lang w:val="en-US" w:eastAsia="zh-CN"/>
        </w:rPr>
        <w:t>购置单位办公设备等。</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lang w:val="en-US" w:eastAsia="zh-CN"/>
        </w:rPr>
        <w:t xml:space="preserve">   </w:t>
      </w:r>
      <w:r>
        <w:rPr>
          <w:rFonts w:hint="eastAsia" w:ascii="楷体" w:hAnsi="楷体" w:eastAsia="楷体" w:cs="楷体"/>
          <w:b w:val="0"/>
          <w:bCs/>
          <w:color w:val="000000"/>
          <w:kern w:val="0"/>
          <w:sz w:val="32"/>
          <w:szCs w:val="32"/>
        </w:rPr>
        <w:t>（三）关于预算绩效管理工作开展情况说明</w:t>
      </w:r>
    </w:p>
    <w:p>
      <w:pPr>
        <w:numPr>
          <w:numId w:val="0"/>
        </w:numPr>
        <w:wordWrap/>
        <w:spacing w:before="0" w:after="0" w:line="600" w:lineRule="exact"/>
        <w:ind w:left="0" w:leftChars="0" w:firstLine="560" w:firstLineChars="200"/>
        <w:textAlignment w:val="auto"/>
        <w:rPr>
          <w:rFonts w:hint="eastAsia" w:ascii="仿宋_GB2312" w:hAnsi="仿宋_GB2312" w:eastAsia="仿宋_GB2312" w:cs="仿宋_GB2312"/>
          <w:color w:val="000000"/>
          <w:sz w:val="32"/>
          <w:szCs w:val="32"/>
          <w:lang w:val="en-US" w:eastAsia="zh-CN"/>
        </w:rPr>
      </w:pPr>
      <w:r>
        <w:rPr>
          <w:rFonts w:hint="eastAsia"/>
          <w:color w:val="000000"/>
          <w:sz w:val="28"/>
          <w:szCs w:val="28"/>
          <w:lang w:val="en-US" w:eastAsia="zh-CN"/>
        </w:rPr>
        <w:t xml:space="preserve"> </w:t>
      </w:r>
      <w:r>
        <w:rPr>
          <w:rFonts w:hint="eastAsia" w:ascii="仿宋_GB2312" w:hAnsi="仿宋_GB2312" w:eastAsia="仿宋_GB2312" w:cs="仿宋_GB2312"/>
          <w:color w:val="000000"/>
          <w:sz w:val="32"/>
          <w:szCs w:val="32"/>
          <w:lang w:val="en-US" w:eastAsia="zh-CN"/>
        </w:rPr>
        <w:t>2017年，我单位未开展绩效评价。2018年，我单位部门预算纳入绩效管理的支出总额为1440.69万元，其中人员经费支出1053.55万元，公用经费支出55.14万元，支出项目共13个，支出总额332万元，其中预算支出30万元及以上应申报绩效的项目0个。</w:t>
      </w:r>
    </w:p>
    <w:p>
      <w:pPr>
        <w:pStyle w:val="5"/>
        <w:spacing w:line="600" w:lineRule="atLeast"/>
        <w:ind w:left="420"/>
        <w:rPr>
          <w:rFonts w:hint="eastAsia" w:ascii="楷体" w:hAnsi="楷体" w:eastAsia="楷体" w:cs="楷体"/>
          <w:b w:val="0"/>
          <w:bCs/>
          <w:color w:val="000000"/>
          <w:kern w:val="0"/>
          <w:sz w:val="32"/>
          <w:szCs w:val="32"/>
          <w:lang w:val="en-US" w:eastAsia="zh-CN" w:bidi="ar-SA"/>
        </w:rPr>
      </w:pPr>
      <w:r>
        <w:rPr>
          <w:rFonts w:hint="eastAsia" w:ascii="黑体" w:hAnsi="黑体" w:eastAsia="黑体"/>
          <w:color w:val="000000"/>
          <w:sz w:val="32"/>
          <w:szCs w:val="32"/>
        </w:rPr>
        <w:t>（</w:t>
      </w:r>
      <w:r>
        <w:rPr>
          <w:rFonts w:hint="eastAsia" w:ascii="楷体" w:hAnsi="楷体" w:eastAsia="楷体" w:cs="楷体"/>
          <w:b w:val="0"/>
          <w:bCs/>
          <w:color w:val="000000"/>
          <w:kern w:val="0"/>
          <w:sz w:val="32"/>
          <w:szCs w:val="32"/>
          <w:lang w:val="en-US" w:eastAsia="zh-CN" w:bidi="ar-SA"/>
        </w:rPr>
        <w:t>四）国有资产占用情况</w:t>
      </w:r>
    </w:p>
    <w:p>
      <w:pPr>
        <w:pStyle w:val="5"/>
        <w:spacing w:line="600" w:lineRule="atLeast"/>
        <w:rPr>
          <w:rFonts w:hint="eastAsia" w:ascii="仿宋_GB2312" w:eastAsia="仿宋_GB2312"/>
          <w:color w:val="000000"/>
          <w:sz w:val="32"/>
          <w:szCs w:val="32"/>
        </w:rPr>
      </w:pPr>
      <w:r>
        <w:rPr>
          <w:rFonts w:hint="eastAsia" w:ascii="仿宋_GB2312" w:eastAsia="仿宋_GB2312"/>
          <w:color w:val="000000"/>
          <w:sz w:val="32"/>
          <w:szCs w:val="32"/>
        </w:rPr>
        <w:t xml:space="preserve">    2017年期末，财政局固定资产总额573万元，其中，房屋建筑物300万元，车辆93万元。共有车辆9辆，其中：一般公务用车9辆，执法执勤车0辆，无；单价50万元以上通用设备0台（套），单位价值100万元以上专用设备0台（套）。</w:t>
      </w:r>
    </w:p>
    <w:p>
      <w:pPr>
        <w:numPr>
          <w:numId w:val="0"/>
        </w:num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p>
    <w:p>
      <w:pPr>
        <w:kinsoku w:val="0"/>
        <w:wordWrap/>
        <w:overflowPunct w:val="0"/>
        <w:autoSpaceDE w:val="0"/>
        <w:autoSpaceDN w:val="0"/>
        <w:adjustRightInd w:val="0"/>
        <w:snapToGrid w:val="0"/>
        <w:spacing w:before="0" w:after="0" w:line="600" w:lineRule="exact"/>
        <w:ind w:left="0" w:leftChars="0" w:firstLine="643" w:firstLineChars="200"/>
        <w:textAlignment w:val="auto"/>
        <w:rPr>
          <w:rFonts w:hint="eastAsia" w:ascii="仿宋_GB2312" w:hAnsi="仿宋_GB2312" w:eastAsia="仿宋_GB2312" w:cs="仿宋_GB2312"/>
          <w:b/>
          <w:color w:val="000000"/>
          <w:kern w:val="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一、财政拨款收入：是指</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、“三公”经费：是指纳入</w:t>
      </w:r>
      <w:r>
        <w:rPr>
          <w:rFonts w:hint="eastAsia" w:ascii="仿宋_GB2312" w:hAnsi="仿宋_GB2312" w:eastAsia="仿宋_GB2312" w:cs="仿宋_GB2312"/>
          <w:color w:val="000000"/>
          <w:sz w:val="32"/>
          <w:szCs w:val="32"/>
          <w:lang w:eastAsia="zh-CN"/>
        </w:rPr>
        <w:t>县级</w:t>
      </w:r>
      <w:r>
        <w:rPr>
          <w:rFonts w:hint="eastAsia" w:ascii="仿宋_GB2312" w:hAnsi="仿宋_GB2312" w:eastAsia="仿宋_GB2312" w:cs="仿宋_GB2312"/>
          <w:color w:val="000000"/>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宋体" w:eastAsia="仿宋_GB2312" w:cs="Courier New"/>
          <w:color w:val="000000"/>
          <w:sz w:val="32"/>
          <w:szCs w:val="32"/>
          <w:lang w:eastAsia="zh-CN"/>
        </w:rPr>
        <w:t>七</w:t>
      </w:r>
      <w:r>
        <w:rPr>
          <w:rFonts w:hint="eastAsia" w:ascii="仿宋_GB2312" w:hAnsi="宋体" w:eastAsia="仿宋_GB2312" w:cs="Courier New"/>
          <w:color w:val="000000"/>
          <w:sz w:val="32"/>
          <w:szCs w:val="32"/>
        </w:rPr>
        <w:t>、</w:t>
      </w:r>
      <w:r>
        <w:rPr>
          <w:rFonts w:hint="eastAsia" w:ascii="仿宋_GB2312" w:hAnsi="宋体" w:eastAsia="仿宋_GB2312" w:cs="Courier New"/>
          <w:color w:val="000000"/>
          <w:sz w:val="32"/>
          <w:szCs w:val="32"/>
          <w:lang w:eastAsia="zh-CN"/>
        </w:rPr>
        <w:t>机关运行经费</w:t>
      </w:r>
      <w:r>
        <w:rPr>
          <w:rFonts w:hint="eastAsia" w:ascii="仿宋_GB2312" w:hAnsi="宋体" w:eastAsia="仿宋_GB2312" w:cs="Courier New"/>
          <w:color w:val="000000"/>
          <w:sz w:val="32"/>
          <w:szCs w:val="32"/>
        </w:rPr>
        <w:t>：是指为保障行政</w:t>
      </w:r>
      <w:r>
        <w:rPr>
          <w:rFonts w:hint="eastAsia" w:ascii="仿宋_GB2312" w:hAnsi="仿宋_GB2312" w:eastAsia="仿宋_GB2312" w:cs="仿宋_GB2312"/>
          <w:color w:val="000000"/>
          <w:sz w:val="32"/>
          <w:szCs w:val="32"/>
        </w:rPr>
        <w:t>机构正常运转及正常履职需要的办公费、水电费、</w:t>
      </w:r>
      <w:r>
        <w:rPr>
          <w:rFonts w:hint="eastAsia" w:ascii="仿宋_GB2312" w:hAnsi="仿宋_GB2312" w:eastAsia="仿宋_GB2312" w:cs="仿宋_GB2312"/>
          <w:color w:val="000000"/>
          <w:sz w:val="32"/>
          <w:szCs w:val="32"/>
          <w:lang w:eastAsia="zh-CN"/>
        </w:rPr>
        <w:t>日常维修、</w:t>
      </w:r>
      <w:r>
        <w:rPr>
          <w:rFonts w:hint="eastAsia" w:ascii="仿宋_GB2312" w:hAnsi="仿宋_GB2312" w:eastAsia="仿宋_GB2312" w:cs="仿宋_GB2312"/>
          <w:color w:val="000000"/>
          <w:sz w:val="32"/>
          <w:szCs w:val="32"/>
        </w:rPr>
        <w:t>物业费、维修费、差旅费</w:t>
      </w:r>
      <w:r>
        <w:rPr>
          <w:rFonts w:hint="eastAsia" w:ascii="仿宋_GB2312" w:hAnsi="仿宋_GB2312" w:eastAsia="仿宋_GB2312" w:cs="仿宋_GB2312"/>
          <w:color w:val="000000"/>
          <w:sz w:val="32"/>
          <w:szCs w:val="32"/>
          <w:lang w:eastAsia="zh-CN"/>
        </w:rPr>
        <w:t>、</w:t>
      </w:r>
      <w:r>
        <w:rPr>
          <w:rFonts w:hint="eastAsia" w:ascii="仿宋_GB2312" w:hAnsi="宋体" w:eastAsia="仿宋_GB2312" w:cs="Courier New"/>
          <w:color w:val="000000"/>
          <w:sz w:val="32"/>
          <w:szCs w:val="32"/>
        </w:rPr>
        <w:t>公务用车运行维护费以及其他费用</w:t>
      </w:r>
      <w:r>
        <w:rPr>
          <w:rFonts w:hint="eastAsia" w:ascii="仿宋_GB2312" w:hAnsi="仿宋_GB2312" w:eastAsia="仿宋_GB2312" w:cs="仿宋_GB2312"/>
          <w:color w:val="000000"/>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八、</w:t>
      </w:r>
      <w:r>
        <w:rPr>
          <w:rFonts w:hint="default" w:ascii="仿宋_GB2312" w:hAnsi="仿宋_GB2312" w:eastAsia="仿宋_GB2312" w:cs="仿宋_GB2312"/>
          <w:color w:val="000000"/>
          <w:sz w:val="32"/>
          <w:szCs w:val="32"/>
        </w:rPr>
        <w:t>财政政策</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rPr>
        <w:t>国家制定的指导财政分配活动和处理各种财政分配关系的基本准则。它是客观存在的财政分配关系在国家意志上的反映。</w:t>
      </w:r>
      <w:r>
        <w:rPr>
          <w:rFonts w:hint="eastAsia" w:ascii="仿宋_GB2312" w:hAnsi="仿宋_GB2312" w:eastAsia="仿宋_GB2312" w:cs="仿宋_GB2312"/>
          <w:color w:val="000000"/>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color w:val="000000"/>
          <w:sz w:val="32"/>
          <w:szCs w:val="32"/>
        </w:rPr>
      </w:pPr>
    </w:p>
    <w:p>
      <w:pPr>
        <w:wordWrap/>
        <w:adjustRightInd w:val="0"/>
        <w:snapToGrid w:val="0"/>
        <w:spacing w:before="0" w:after="0" w:line="600" w:lineRule="exact"/>
        <w:ind w:left="0" w:lef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财政局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color w:val="000000"/>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7907436">
    <w:nsid w:val="5A796DEC"/>
    <w:multiLevelType w:val="singleLevel"/>
    <w:tmpl w:val="5A796DEC"/>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num w:numId="1">
    <w:abstractNumId w:val="1517907436"/>
  </w:num>
  <w:num w:numId="2">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paragraph" w:styleId="2">
    <w:name w:val="footer"/>
    <w:basedOn w:val="1"/>
    <w:qFormat/>
    <w:uiPriority w:val="0"/>
    <w:pPr>
      <w:tabs>
        <w:tab w:val="center" w:pos="4153"/>
        <w:tab w:val="right" w:pos="8306"/>
      </w:tabs>
      <w:snapToGrid w:val="0"/>
      <w:jc w:val="left"/>
    </w:pPr>
    <w:rPr>
      <w:rFonts w:eastAsia="宋体"/>
      <w:sz w:val="18"/>
      <w:szCs w:val="18"/>
    </w:rPr>
  </w:style>
  <w:style w:type="character" w:styleId="4">
    <w:name w:val="page number"/>
    <w:basedOn w:val="3"/>
    <w:qFormat/>
    <w:uiPriority w:val="0"/>
    <w:rPr/>
  </w:style>
  <w:style w:type="paragraph" w:customStyle="1" w:styleId="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崔龙</cp:lastModifiedBy>
  <cp:lastPrinted>2018-03-09T07:54:00Z</cp:lastPrinted>
  <dcterms:modified xsi:type="dcterms:W3CDTF">2018-11-08T09:31:56Z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