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年度温县第三实验小学预算公开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3569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主要职能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温县第三实验小学单位概况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3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ind w:firstLine="31680" w:firstLineChars="2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1、教务处。2、总务处。</w:t>
      </w:r>
    </w:p>
    <w:p>
      <w:pPr>
        <w:ind w:firstLine="316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kinsoku w:val="0"/>
        <w:overflowPunct w:val="0"/>
        <w:adjustRightInd w:val="0"/>
        <w:snapToGrid w:val="0"/>
        <w:spacing w:line="240" w:lineRule="auto"/>
        <w:ind w:right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全面贯彻党的教育方针，严格执行国家课程标准，坚持育人为本，德育为先，深入开展有效性课堂教学达标活动，全方位提高教学质量，培养德、智、体、美、劳全面发展的社会主义建设者和接班人。</w:t>
      </w:r>
    </w:p>
    <w:p>
      <w:pPr>
        <w:numPr>
          <w:ilvl w:val="0"/>
          <w:numId w:val="4"/>
        </w:numPr>
        <w:kinsoku w:val="0"/>
        <w:overflowPunct w:val="0"/>
        <w:adjustRightInd w:val="0"/>
        <w:snapToGrid w:val="0"/>
        <w:spacing w:line="600" w:lineRule="exact"/>
        <w:ind w:right="3569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部门预算单位构成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我单位由二级预算机构</w:t>
      </w:r>
      <w:r>
        <w:rPr>
          <w:rFonts w:hint="eastAsia" w:ascii="仿宋_GB2312" w:hAnsi="Times New Roman" w:eastAsia="仿宋_GB2312"/>
          <w:sz w:val="32"/>
          <w:lang w:val="en-US" w:eastAsia="zh-CN"/>
        </w:rPr>
        <w:t>0个，</w:t>
      </w:r>
      <w:r>
        <w:rPr>
          <w:rFonts w:hint="eastAsia" w:ascii="仿宋_GB2312" w:hAnsi="Times New Roman" w:eastAsia="仿宋_GB2312"/>
          <w:sz w:val="32"/>
        </w:rPr>
        <w:t>本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算为第三实验小学</w:t>
      </w:r>
      <w:r>
        <w:rPr>
          <w:rFonts w:hint="eastAsia" w:ascii="仿宋_GB2312" w:hAnsi="Times New Roman" w:eastAsia="仿宋_GB2312"/>
          <w:sz w:val="32"/>
          <w:lang w:eastAsia="zh-CN"/>
        </w:rPr>
        <w:t>本级预算。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温县第三实验小学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459.39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459.39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12.2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教师人数增加，工资收入增加；学生人数增加，经费收入增加。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温县第三实验小学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459.39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459.39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336.6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122.79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温县第三实验小学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459.39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459.39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温县第三实验小学2018年一般公共预算收支预算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459.39</w:t>
      </w:r>
      <w:r>
        <w:rPr>
          <w:rFonts w:hint="eastAsia" w:ascii="仿宋_GB2312" w:eastAsia="仿宋_GB2312"/>
          <w:sz w:val="32"/>
          <w:szCs w:val="32"/>
        </w:rPr>
        <w:t>万元。政府性基金收支预算0万元，与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50.13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12.2</w:t>
      </w:r>
      <w:r>
        <w:rPr>
          <w:rFonts w:hint="eastAsia" w:ascii="仿宋_GB2312" w:eastAsia="仿宋_GB2312"/>
          <w:sz w:val="32"/>
          <w:szCs w:val="32"/>
        </w:rPr>
        <w:t>%，主要原因：教师增加和学生人数增加。政府性基金收支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温县第三实验小学2018年一般公共预算支出年初预算为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459.39</w:t>
      </w:r>
      <w:r>
        <w:rPr>
          <w:rFonts w:hint="eastAsia" w:ascii="仿宋_GB2312" w:eastAsia="仿宋_GB2312"/>
          <w:sz w:val="32"/>
          <w:szCs w:val="32"/>
        </w:rPr>
        <w:t>万元。主要用于以下方面：教育支出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388.1</w:t>
      </w:r>
      <w:r>
        <w:rPr>
          <w:rFonts w:hint="eastAsia" w:ascii="仿宋_GB2312" w:eastAsia="仿宋_GB2312"/>
          <w:sz w:val="32"/>
          <w:szCs w:val="32"/>
        </w:rPr>
        <w:t>7万元，占84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.5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52.6</w:t>
      </w:r>
      <w:r>
        <w:rPr>
          <w:rFonts w:hint="eastAsia" w:ascii="仿宋_GB2312" w:eastAsia="仿宋_GB2312"/>
          <w:sz w:val="32"/>
          <w:szCs w:val="32"/>
        </w:rPr>
        <w:t>万元，占1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18.62万元，占4%。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温县第三实验小学2018年一般公共预算基本支出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459.39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361.6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</w:t>
      </w:r>
      <w:r>
        <w:rPr>
          <w:rFonts w:hint="eastAsia" w:ascii="仿宋_GB2312" w:eastAsia="仿宋_GB2312"/>
          <w:sz w:val="32"/>
          <w:szCs w:val="32"/>
          <w:lang w:eastAsia="zh-CN"/>
        </w:rPr>
        <w:t>、其他工资福利支出</w:t>
      </w:r>
      <w:r>
        <w:rPr>
          <w:rFonts w:hint="eastAsia" w:ascii="仿宋_GB2312" w:eastAsia="仿宋_GB2312"/>
          <w:sz w:val="32"/>
          <w:szCs w:val="32"/>
        </w:rPr>
        <w:t>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/>
          <w:sz w:val="32"/>
          <w:szCs w:val="32"/>
        </w:rPr>
        <w:t>.79万元，主要包括：办公费、印刷费、水费、电费、邮电费、取暖费、维修（护）费、培训费、其他交通费用、办公设备购置。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温县第三实验小学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无增长比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5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0万元,与2017年预算数持平，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5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增长0%。</w:t>
      </w:r>
      <w:bookmarkStart w:id="0" w:name="_GoBack"/>
      <w:bookmarkEnd w:id="0"/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（一）学校运行经费情况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年学校公用经费预算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122.79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万元，主要保障学校机构正常运转及正常履职需要的办公费、水电费、物业费、维修费、培训费等支出。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 2018年我单位无政府采购预算安排。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我单位部门预算纳入绩效管理的支出总额为459.39万元，其中人员经费支出336.6万元，公用经费支出122.79万元，支出项目共0个，支出总额0万元.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2017年期末，温县第三实验小学固定资产总额240.87万元，其中，通用设备购置183.57万元，专用设备购置18.3万元，图书、档案0.12万元，家具、用具、装具购置38.88万元。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七、学校运行经费：是指为保障学校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八、城乡义务教育经费保障机制改革资金：是指保障义务教育学校各项工作正常运转支出。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附件：温县第三实验小学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758525547">
    <w:nsid w:val="2D362E6B"/>
    <w:multiLevelType w:val="multilevel"/>
    <w:tmpl w:val="2D362E6B"/>
    <w:lvl w:ilvl="0" w:tentative="1">
      <w:start w:val="2"/>
      <w:numFmt w:val="japaneseCounting"/>
      <w:lvlText w:val="%1、"/>
      <w:lvlJc w:val="left"/>
      <w:pPr>
        <w:tabs>
          <w:tab w:val="left" w:pos="1680"/>
        </w:tabs>
        <w:ind w:left="1680" w:hanging="72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1800"/>
        </w:tabs>
        <w:ind w:left="18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220"/>
        </w:tabs>
        <w:ind w:left="22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640"/>
        </w:tabs>
        <w:ind w:left="26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3060"/>
        </w:tabs>
        <w:ind w:left="30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480"/>
        </w:tabs>
        <w:ind w:left="34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900"/>
        </w:tabs>
        <w:ind w:left="39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320"/>
        </w:tabs>
        <w:ind w:left="43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740"/>
        </w:tabs>
        <w:ind w:left="4740" w:hanging="420"/>
      </w:pPr>
      <w:rPr>
        <w:rFonts w:cs="Times New Roman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084716888">
    <w:nsid w:val="7C424158"/>
    <w:multiLevelType w:val="multilevel"/>
    <w:tmpl w:val="7C424158"/>
    <w:lvl w:ilvl="0" w:tentative="1">
      <w:start w:val="1"/>
      <w:numFmt w:val="japaneseCounting"/>
      <w:lvlText w:val="%1、"/>
      <w:lvlJc w:val="left"/>
      <w:pPr>
        <w:ind w:left="1680" w:hanging="72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num w:numId="1">
    <w:abstractNumId w:val="2084716888"/>
  </w:num>
  <w:num w:numId="2">
    <w:abstractNumId w:val="1517907436"/>
  </w:num>
  <w:num w:numId="3">
    <w:abstractNumId w:val="1520564614"/>
  </w:num>
  <w:num w:numId="4">
    <w:abstractNumId w:val="758525547"/>
  </w:num>
  <w:num w:numId="5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6">
    <w:name w:val="Header Char"/>
    <w:basedOn w:val="4"/>
    <w:link w:val="3"/>
    <w:uiPriority w:val="99"/>
    <w:rPr>
      <w:rFonts w:ascii="Calibri" w:hAnsi="Calibri" w:cs="黑体"/>
      <w:kern w:val="2"/>
      <w:sz w:val="18"/>
      <w:szCs w:val="18"/>
    </w:rPr>
  </w:style>
  <w:style w:type="character" w:customStyle="1" w:styleId="7">
    <w:name w:val="Footer Char"/>
    <w:basedOn w:val="4"/>
    <w:link w:val="2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248</Words>
  <Characters>1414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2019-03-17T09:25:08Z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