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年度文广新局（广电）单位预算公开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168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文广新局（广电）单位概况</w:t>
      </w:r>
    </w:p>
    <w:p>
      <w:pPr>
        <w:adjustRightInd w:val="0"/>
        <w:snapToGrid w:val="0"/>
        <w:spacing w:line="600" w:lineRule="exact"/>
        <w:ind w:firstLine="3168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主要职能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31680" w:firstLineChars="200"/>
        <w:outlineLvl w:val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机构设置情况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hint="default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lang w:val="en-US" w:eastAsia="zh-CN"/>
        </w:rPr>
        <w:t>1、办公室。2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、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计财科</w:t>
      </w:r>
      <w:r>
        <w:rPr>
          <w:rFonts w:hint="eastAsia" w:ascii="仿宋_GB2312" w:hAnsi="仿宋_GB2312" w:eastAsia="仿宋_GB2312"/>
          <w:color w:val="000000"/>
          <w:kern w:val="0"/>
          <w:sz w:val="32"/>
          <w:lang w:eastAsia="zh-CN"/>
        </w:rPr>
        <w:t>。</w:t>
      </w:r>
      <w:r>
        <w:rPr>
          <w:rFonts w:hint="eastAsia" w:ascii="仿宋_GB2312" w:hAnsi="仿宋_GB2312" w:eastAsia="仿宋_GB2312"/>
          <w:color w:val="000000"/>
          <w:kern w:val="0"/>
          <w:sz w:val="32"/>
          <w:lang w:val="en-US" w:eastAsia="zh-CN"/>
        </w:rPr>
        <w:t>3、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总编室。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3569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（二）部门职责</w:t>
      </w:r>
    </w:p>
    <w:p>
      <w:pPr>
        <w:numPr>
          <w:numId w:val="0"/>
        </w:numPr>
        <w:adjustRightInd w:val="0"/>
        <w:snapToGrid w:val="0"/>
        <w:spacing w:line="600" w:lineRule="exact"/>
        <w:outlineLvl w:val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温县文化广电新闻出版局（广电）为县政府主管文化广电新闻出版工作的直属事业局，下设温县广播电视台、有线电视台两个二级机构。主要职责：负责全县广播电视发射、节目传送、节目监测设施的管理；监管广播电视节目的传输、监测和安全播出工作，保障广播电视节目安全播出；负责对广播电视设备经营市场进行监管；有线电视网络的工程设计、安装、信号传输。</w:t>
      </w:r>
    </w:p>
    <w:p>
      <w:pPr>
        <w:kinsoku w:val="0"/>
        <w:overflowPunct w:val="0"/>
        <w:adjustRightInd w:val="0"/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部门预算单位构成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hint="default" w:ascii="仿宋_GB2312" w:hAnsi="仿宋_GB2312" w:eastAsia="仿宋_GB2312"/>
          <w:color w:val="000000"/>
          <w:kern w:val="0"/>
          <w:sz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我单位有二级机构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2个，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本</w:t>
      </w:r>
      <w:r>
        <w:rPr>
          <w:rFonts w:hint="eastAsia" w:ascii="仿宋_GB2312" w:hAnsi="仿宋_GB2312" w:eastAsia="仿宋_GB2312"/>
          <w:color w:val="000000"/>
          <w:kern w:val="0"/>
          <w:sz w:val="32"/>
          <w:lang w:eastAsia="zh-CN"/>
        </w:rPr>
        <w:t>预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算为汇总</w:t>
      </w:r>
      <w:r>
        <w:rPr>
          <w:rFonts w:hint="eastAsia" w:ascii="仿宋_GB2312" w:hAnsi="仿宋_GB2312" w:eastAsia="仿宋_GB2312"/>
          <w:color w:val="000000"/>
          <w:kern w:val="0"/>
          <w:sz w:val="32"/>
          <w:lang w:eastAsia="zh-CN"/>
        </w:rPr>
        <w:t>预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算，纳入本部门201</w:t>
      </w:r>
      <w:r>
        <w:rPr>
          <w:rFonts w:hint="eastAsia" w:ascii="仿宋_GB2312" w:hAnsi="仿宋_GB2312" w:eastAsia="仿宋_GB2312"/>
          <w:color w:val="000000"/>
          <w:kern w:val="0"/>
          <w:sz w:val="32"/>
          <w:lang w:val="en-US" w:eastAsia="zh-CN"/>
        </w:rPr>
        <w:t>8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年度部门</w:t>
      </w:r>
      <w:r>
        <w:rPr>
          <w:rFonts w:hint="eastAsia" w:ascii="仿宋_GB2312" w:hAnsi="仿宋_GB2312" w:eastAsia="仿宋_GB2312"/>
          <w:color w:val="000000"/>
          <w:kern w:val="0"/>
          <w:sz w:val="32"/>
          <w:lang w:eastAsia="zh-CN"/>
        </w:rPr>
        <w:t>预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算编报范围的</w:t>
      </w:r>
      <w:r>
        <w:rPr>
          <w:rFonts w:hint="eastAsia" w:ascii="仿宋_GB2312" w:hAnsi="仿宋_GB2312" w:eastAsia="仿宋_GB2312"/>
          <w:color w:val="000000"/>
          <w:kern w:val="0"/>
          <w:sz w:val="32"/>
          <w:lang w:eastAsia="zh-CN"/>
        </w:rPr>
        <w:t>二级机构</w:t>
      </w:r>
      <w:r>
        <w:rPr>
          <w:rFonts w:hint="eastAsia" w:ascii="仿宋_GB2312" w:hAnsi="仿宋_GB2312" w:eastAsia="仿宋_GB2312"/>
          <w:color w:val="000000"/>
          <w:kern w:val="0"/>
          <w:sz w:val="32"/>
        </w:rPr>
        <w:t>如下：</w:t>
      </w:r>
    </w:p>
    <w:p>
      <w:pPr>
        <w:widowControl/>
        <w:numPr>
          <w:ilvl w:val="0"/>
          <w:numId w:val="3"/>
        </w:numPr>
        <w:shd w:val="clear" w:color="auto" w:fill="FFFFFF"/>
        <w:spacing w:line="600" w:lineRule="exact"/>
        <w:ind w:firstLine="640"/>
        <w:jc w:val="left"/>
        <w:rPr>
          <w:rFonts w:hint="default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温县广播电视台</w:t>
      </w:r>
    </w:p>
    <w:p>
      <w:pPr>
        <w:widowControl/>
        <w:numPr>
          <w:ilvl w:val="0"/>
          <w:numId w:val="3"/>
        </w:numPr>
        <w:shd w:val="clear" w:color="auto" w:fill="FFFFFF"/>
        <w:spacing w:line="600" w:lineRule="exact"/>
        <w:ind w:firstLine="640"/>
        <w:jc w:val="left"/>
        <w:rPr>
          <w:rFonts w:hint="default" w:ascii="仿宋_GB2312" w:hAnsi="仿宋_GB2312" w:eastAsia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</w:rPr>
        <w:t>温县有线电视台。</w:t>
      </w:r>
    </w:p>
    <w:p>
      <w:pPr>
        <w:numPr>
          <w:numId w:val="0"/>
        </w:num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numPr>
          <w:numId w:val="0"/>
        </w:num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文广新局（广电）单位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年收入总计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692.6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ascii="仿宋_GB2312" w:hAnsi="仿宋_GB2312" w:eastAsia="仿宋_GB2312" w:cs="仿宋_GB2312"/>
          <w:sz w:val="32"/>
          <w:szCs w:val="32"/>
        </w:rPr>
        <w:t>692.6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年收入支出</w:t>
      </w:r>
      <w:r>
        <w:rPr>
          <w:rFonts w:ascii="仿宋_GB2312" w:hAnsi="仿宋_GB2312" w:eastAsia="仿宋_GB2312" w:cs="仿宋_GB2312"/>
          <w:sz w:val="32"/>
          <w:szCs w:val="32"/>
        </w:rPr>
        <w:t>788.8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相比，收、支总计减少</w:t>
      </w:r>
      <w:r>
        <w:rPr>
          <w:rFonts w:ascii="仿宋_GB2312" w:hAnsi="仿宋_GB2312" w:eastAsia="仿宋_GB2312" w:cs="仿宋_GB2312"/>
          <w:sz w:val="32"/>
          <w:szCs w:val="32"/>
        </w:rPr>
        <w:t>96.2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12.2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。主要原因：广告收入在大形势下幅度下滑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，非税收入安排的支出减少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文广新局（广电）单位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692.6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万元，其中：一般公共预算合计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692.6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万元，本级财力</w:t>
      </w:r>
      <w:r>
        <w:rPr>
          <w:rFonts w:ascii="仿宋_GB2312" w:hAnsi="仿宋_GB2312" w:eastAsia="仿宋_GB2312" w:cs="仿宋_GB2312"/>
          <w:sz w:val="32"/>
          <w:szCs w:val="32"/>
        </w:rPr>
        <w:t>220.44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万元，非税收入</w:t>
      </w:r>
      <w:r>
        <w:rPr>
          <w:rFonts w:ascii="仿宋_GB2312" w:hAnsi="仿宋_GB2312" w:eastAsia="仿宋_GB2312" w:cs="仿宋_GB2312"/>
          <w:sz w:val="32"/>
          <w:szCs w:val="32"/>
        </w:rPr>
        <w:t>472.16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万元，上级转移支付收入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3168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文广新局（广电）单位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692.6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ascii="仿宋_GB2312" w:hAnsi="仿宋_GB2312" w:eastAsia="仿宋_GB2312" w:cs="仿宋_GB2312"/>
          <w:sz w:val="32"/>
          <w:szCs w:val="32"/>
        </w:rPr>
        <w:t>554.09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80%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ascii="仿宋_GB2312" w:hAnsi="仿宋_GB2312" w:eastAsia="仿宋_GB2312" w:cs="仿宋_GB2312"/>
          <w:sz w:val="32"/>
          <w:szCs w:val="32"/>
        </w:rPr>
        <w:t>138.51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20%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9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9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广电局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692.6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万元，与2017年相比，一般公共预算收支预算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96.26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12.2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eastAsia="zh-CN"/>
        </w:rPr>
        <w:t>人员有所减少，控制了单位一般性支出</w:t>
      </w:r>
      <w:r>
        <w:rPr>
          <w:rFonts w:hint="eastAsia" w:ascii="仿宋_GB2312" w:eastAsia="仿宋_GB2312"/>
          <w:sz w:val="32"/>
          <w:szCs w:val="32"/>
        </w:rPr>
        <w:t>；政府性基金安排和2017年保持一致。</w:t>
      </w:r>
    </w:p>
    <w:p>
      <w:pPr>
        <w:pStyle w:val="9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9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广电局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692.6</w:t>
      </w:r>
      <w:r>
        <w:rPr>
          <w:rFonts w:hint="eastAsia" w:ascii="仿宋_GB2312" w:eastAsia="仿宋_GB2312"/>
          <w:sz w:val="32"/>
          <w:szCs w:val="32"/>
        </w:rPr>
        <w:t>万元。主要用于以下方面：</w:t>
      </w:r>
      <w:r>
        <w:rPr>
          <w:rFonts w:hint="eastAsia" w:ascii="仿宋_GB2312" w:eastAsia="仿宋_GB2312"/>
          <w:sz w:val="32"/>
          <w:szCs w:val="32"/>
          <w:lang w:eastAsia="zh-CN"/>
        </w:rPr>
        <w:t>文化体育与传媒支出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591.92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85.5</w:t>
      </w:r>
      <w:r>
        <w:rPr>
          <w:rFonts w:hint="eastAsia" w:ascii="仿宋_GB2312" w:eastAsia="仿宋_GB2312"/>
          <w:sz w:val="32"/>
          <w:szCs w:val="32"/>
        </w:rPr>
        <w:t>%；</w:t>
      </w:r>
      <w:r>
        <w:rPr>
          <w:rFonts w:hint="eastAsia" w:ascii="仿宋_GB2312" w:eastAsia="仿宋_GB2312"/>
          <w:sz w:val="32"/>
          <w:szCs w:val="32"/>
          <w:lang w:eastAsia="zh-CN"/>
        </w:rPr>
        <w:t>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74.4万元，占10.7%；医疗卫生与计划生育支出26.28万元，占3.8%。</w:t>
      </w:r>
    </w:p>
    <w:p>
      <w:pPr>
        <w:pStyle w:val="9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9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广电局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554.09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521.81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主要包括</w:t>
      </w:r>
      <w:r>
        <w:rPr>
          <w:rFonts w:hint="eastAsia" w:ascii="仿宋_GB2312" w:eastAsia="仿宋_GB2312"/>
          <w:sz w:val="32"/>
          <w:szCs w:val="32"/>
        </w:rPr>
        <w:t>基本工资、津贴补贴、奖金、绩效工资、机关事业单位基本养老保险缴费、职业年金缴费、医疗保险缴费、其他社会保障缴费、住房公积金；公用经费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32.28</w:t>
      </w:r>
      <w:r>
        <w:rPr>
          <w:rFonts w:hint="eastAsia" w:ascii="仿宋_GB2312" w:eastAsia="仿宋_GB2312"/>
          <w:sz w:val="32"/>
          <w:szCs w:val="32"/>
        </w:rPr>
        <w:t>万元，主要包括：办公费、公务接待费、公务用车运行维护费、其他交通费用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文广新局（广电）单位</w:t>
      </w:r>
      <w:r>
        <w:rPr>
          <w:rFonts w:ascii="仿宋_GB2312" w:hAnsi="仿宋_GB2312" w:eastAsia="仿宋_GB2312" w:cs="仿宋_GB2312"/>
          <w:sz w:val="32"/>
          <w:szCs w:val="32"/>
        </w:rPr>
        <w:t xml:space="preserve">2018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ascii="仿宋_GB2312" w:hAnsi="仿宋_GB2312" w:eastAsia="仿宋_GB2312" w:cs="仿宋_GB2312"/>
          <w:sz w:val="32"/>
          <w:szCs w:val="32"/>
        </w:rPr>
        <w:t>13.5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一致。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0%。</w:t>
      </w:r>
    </w:p>
    <w:p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元。其中公务车辆购置费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公车运行维护费</w:t>
      </w:r>
      <w:r>
        <w:rPr>
          <w:rFonts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万元，主要用于新闻采访、专题采访、广告拍摄、公务用车的燃油维护费。预算数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0%。</w:t>
      </w:r>
    </w:p>
    <w:p>
      <w:pPr>
        <w:spacing w:line="600" w:lineRule="exact"/>
        <w:ind w:firstLine="3168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ascii="仿宋_GB2312" w:hAnsi="仿宋_GB2312" w:eastAsia="仿宋_GB2312" w:cs="仿宋_GB2312"/>
          <w:sz w:val="32"/>
          <w:szCs w:val="32"/>
        </w:rPr>
        <w:t>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万元，主要用于按规定开支的各类公务接待支出。预算数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主要原因：贯彻落实上级规定，厉行节约，严格控制支出。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  <w:bookmarkStart w:id="0" w:name="_GoBack"/>
      <w:bookmarkEnd w:id="0"/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年没有使用政府性基金预算拨款安排的收支。</w:t>
      </w:r>
    </w:p>
    <w:p>
      <w:pPr>
        <w:spacing w:line="600" w:lineRule="exact"/>
        <w:ind w:firstLine="3168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年机关运行经费预算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政府采购预算安排。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（三）关于预算绩效管理工作开展情况说明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年，我单位部门预算纳入绩效管理的支出总额为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692.6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521.81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（四）国有资产占用情况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2017年期末，广电局固定资产总额1186.81万元，其中，房屋建筑物172.58万元，车辆0万元。共有车辆0辆，其中：一般公务用车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辆，执法执勤车0辆；单价50万元以上通用设备0台（套），单位价值100万元以上专用设备0台（套）。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八、公共文化服务体系建设资金：是指为加强基础文化设施建设，提升完善基层公共文化设施建设等支出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附件：文广新局（广电）单位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lucida Grande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穝灿砰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夹发砰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����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 Light">
    <w:altName w:val="黑体"/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537429248">
    <w:nsid w:val="5BA34F00"/>
    <w:multiLevelType w:val="multilevel"/>
    <w:tmpl w:val="5BA34F00"/>
    <w:lvl w:ilvl="0" w:tentative="1">
      <w:start w:val="1"/>
      <w:numFmt w:val="decimal"/>
      <w:suff w:val="nothing"/>
      <w:lvlText w:val="%1."/>
      <w:lvlJc w:val="left"/>
      <w:rPr>
        <w:rFonts w:hint="default" w:ascii="Times New Roman"/>
        <w:u w:val="none" w:color="auto"/>
      </w:rPr>
    </w:lvl>
    <w:lvl w:ilvl="1" w:tentative="1">
      <w:start w:val="1"/>
      <w:numFmt w:val="decimal"/>
      <w:lvlText w:val=""/>
      <w:lvlJc w:val="left"/>
      <w:rPr>
        <w:rFonts w:hint="default" w:ascii="Times New Roman"/>
        <w:u w:val="none" w:color="auto"/>
      </w:rPr>
    </w:lvl>
    <w:lvl w:ilvl="2" w:tentative="1">
      <w:start w:val="1"/>
      <w:numFmt w:val="decimal"/>
      <w:lvlText w:val=""/>
      <w:lvlJc w:val="left"/>
      <w:rPr>
        <w:rFonts w:hint="default" w:ascii="Times New Roman"/>
        <w:u w:val="none" w:color="auto"/>
      </w:rPr>
    </w:lvl>
    <w:lvl w:ilvl="3" w:tentative="1">
      <w:start w:val="1"/>
      <w:numFmt w:val="decimal"/>
      <w:lvlText w:val=""/>
      <w:lvlJc w:val="left"/>
      <w:rPr>
        <w:rFonts w:hint="default" w:ascii="Times New Roman"/>
        <w:u w:val="none" w:color="auto"/>
      </w:rPr>
    </w:lvl>
    <w:lvl w:ilvl="4" w:tentative="1">
      <w:start w:val="1"/>
      <w:numFmt w:val="decimal"/>
      <w:lvlText w:val=""/>
      <w:lvlJc w:val="left"/>
      <w:rPr>
        <w:rFonts w:hint="default" w:ascii="Times New Roman"/>
        <w:u w:val="none" w:color="auto"/>
      </w:rPr>
    </w:lvl>
    <w:lvl w:ilvl="5" w:tentative="1">
      <w:start w:val="1"/>
      <w:numFmt w:val="decimal"/>
      <w:lvlText w:val=""/>
      <w:lvlJc w:val="left"/>
      <w:rPr>
        <w:rFonts w:hint="default" w:ascii="Times New Roman"/>
        <w:u w:val="none" w:color="auto"/>
      </w:rPr>
    </w:lvl>
    <w:lvl w:ilvl="6" w:tentative="1">
      <w:start w:val="1"/>
      <w:numFmt w:val="decimal"/>
      <w:lvlText w:val=""/>
      <w:lvlJc w:val="left"/>
      <w:rPr>
        <w:rFonts w:hint="default" w:ascii="Times New Roman"/>
        <w:u w:val="none" w:color="auto"/>
      </w:rPr>
    </w:lvl>
    <w:lvl w:ilvl="7" w:tentative="1">
      <w:start w:val="1"/>
      <w:numFmt w:val="decimal"/>
      <w:lvlText w:val=""/>
      <w:lvlJc w:val="left"/>
      <w:rPr>
        <w:rFonts w:hint="default" w:ascii="Times New Roman"/>
        <w:u w:val="none" w:color="auto"/>
      </w:rPr>
    </w:lvl>
    <w:lvl w:ilvl="8" w:tentative="1">
      <w:start w:val="1"/>
      <w:numFmt w:val="decimal"/>
      <w:lvlText w:val=""/>
      <w:lvlJc w:val="left"/>
      <w:rPr>
        <w:rFonts w:hint="default" w:ascii="Times New Roman"/>
        <w:u w:val="none" w:color="auto"/>
      </w:rPr>
    </w:lvl>
  </w:abstractNum>
  <w:abstractNum w:abstractNumId="1541212852">
    <w:nsid w:val="5BDD0AB4"/>
    <w:multiLevelType w:val="singleLevel"/>
    <w:tmpl w:val="5BDD0AB4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17907436"/>
  </w:num>
  <w:num w:numId="2">
    <w:abstractNumId w:val="1541212852"/>
  </w:num>
  <w:num w:numId="3">
    <w:abstractNumId w:val="1537429248"/>
  </w:num>
  <w:num w:numId="4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uiPriority="0" w:name="header" w:locked="1"/>
    <w:lsdException w:uiPriority="0" w:name="footer" w:locked="1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0" w:name="annotation subject" w:locked="1"/>
    <w:lsdException w:uiPriority="0" w:name="Balloon Text" w:locked="1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paragraph" w:styleId="2">
    <w:name w:val="footer"/>
    <w:basedOn w:val="1"/>
    <w:semiHidden/>
    <w:unhideWhenUsed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99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FollowedHyperlink"/>
    <w:basedOn w:val="5"/>
    <w:uiPriority w:val="99"/>
    <w:rPr>
      <w:rFonts w:cs="Times New Roman"/>
      <w:color w:val="2B2B2B"/>
      <w:u w:val="none"/>
    </w:rPr>
  </w:style>
  <w:style w:type="character" w:styleId="8">
    <w:name w:val="Hyperlink"/>
    <w:basedOn w:val="5"/>
    <w:uiPriority w:val="99"/>
    <w:rPr>
      <w:rFonts w:cs="Times New Roman"/>
      <w:color w:val="2B2B2B"/>
      <w:u w:val="none"/>
    </w:rPr>
  </w:style>
  <w:style w:type="paragraph" w:customStyle="1" w:styleId="9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300</Words>
  <Characters>1710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2019-03-17T09:02:31Z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