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温县机关事务管理局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温县机关事务管理局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（一）机构设置情况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温县机关事务管理局为县政府直属事业单位，机构规格为正科级，设6个内设科室，分别是：办公室、计划财务科、基建房产科、公共机构节能监督管理科、后勤服务科、公共用车服务中心。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widowControl w:val="0"/>
        <w:wordWrap/>
        <w:adjustRightInd/>
        <w:snapToGrid/>
        <w:spacing w:line="64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、省、市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有关方针政策和法律法规，结合县级机关的具体情况，研究制订县级机关事务管理的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并组织实施。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行政事业单位的房地产管理，负责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县级机关行政综合办公区域内部分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行政事业单位办公用房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和办公区建设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编制、权属登记、使用分配、调剂、修缮、出租出借等工作；按规定承担有关房地产的产权界定，清查登记，对房地产的处置提出初审意见。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负责全县机关事业单位的公务用车平台建设，负责编制公务用车规划和车辆购置、维修、处置及资金管理工作；制定公务用车管理办法并监督执行。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负责县直公共机构节能监督管理，会同有关部门制定规划、规章制度并组织实施；负责推进、指导、协调、监督全县的公共机构节能工作，组织开展能耗统计、监测和评价考核工作。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行政办公区域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内的基建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和维修维护工作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以及环境卫生、园林绿化、安全保卫、消防安全和秩序管理工作。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行政办公区域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内的供水、供电、供暖管理及其设施的维修维护工作；负责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县级行政综合办公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通讯和办公自动化管理工作。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县直各单位的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；负责县重要会议服务和相关资金管理工作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县直机关工勤的集中管理工作。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县人大、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交办的其他工作。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部门预算单位构成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4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我单位有二级机构0个，本预算为本级单位预算。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86.06万元，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房屋修缮资金减少。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830.02万元，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749.82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温县机关事务管理局部门2018年一般公共预算收支预算833.79万元。政府性基金收支预算0万元，与 2017年相比，一般公共预算收支预算减少86.0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624</w:t>
      </w:r>
      <w:r>
        <w:rPr>
          <w:rFonts w:hint="eastAsia" w:ascii="仿宋_GB2312" w:eastAsia="仿宋_GB2312"/>
          <w:sz w:val="32"/>
          <w:szCs w:val="32"/>
        </w:rPr>
        <w:t>万元，下降9.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</w:rPr>
        <w:t>%，主要原因：房屋修缮资金减少；政府性基金收支增加0万元，增长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机关事务管理局部门2018年一般公共预算支出年初预算为833.79万元。主要用于以下方面：一般公共服务支出816.4万元，占97.91%；社会保障和就业支出12.84万元，占1.54%；医疗卫生与计划生育支出4.55万元，占0.55%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温县机关事务管理局部门2018年一般公共预算基本支出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83.97</w:t>
      </w:r>
      <w:r>
        <w:rPr>
          <w:rFonts w:hint="eastAsia" w:ascii="仿宋_GB2312" w:eastAsia="仿宋_GB2312"/>
          <w:sz w:val="32"/>
          <w:szCs w:val="32"/>
        </w:rPr>
        <w:t>万元，其中：人员经费82.05万元，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基本工资、津贴补贴、绩效工资、机关事业单位基本养老保险缴费、医疗保险缴费、其他社会保障缴费；公用经费1.92万元，主要包括：办公费、印刷费、邮电费、培训费、公务接待费。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0万元，与2017年数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其中公务车辆购置费0万元,与2017年数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公车运行维护费200万元，主要用于需到郑州、焦作等地采购物品、出差；平时日常公事用车；应急用车的保养维修、加油、清洗清洁等，与2017年数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，其中：台式计算机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，小计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3.34万元；空调5台，小计1.37万元；针式打印机1台，小计0.25万元；档案柜7个，共计0.35万元；双人床15张，小计1.02万元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；县政府综合楼外立面维修、清洁费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20万元；政府人大南北两机关大院亮化设施更新费24万元；政府人大南北两机关大院安装安全监控设备费17万元。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以上政府采购支出预算资金共计为67.33万元。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2017年，我单位未开展绩效评价。2018年，我单位部门预算纳入绩效管理的支出总额为833.79万元，其中人员经费支出82.05万元，公用经费支出1.92万元，支出项目共18个，支出总额749.82万元.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firstLine="320" w:firstLineChars="100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温县机关事务管理局部门固定资产总额1786.8215万元，其中，房屋建筑物962.8528万元，车辆0万元。共有车辆0辆，其中：一般公务用车0辆，执法执勤车0辆，无；单价50万元以上通用设备0台（套），单位价值100万元以上专用设备0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八、机关事务局支出：主要用于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行政事业单位的房地产管理，负责全县机关事业单位的公务用车平台建设，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负责县直公共机构节能监督管理，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行政办公区域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内的基建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和维修维护工作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温县机关事务管理局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2018-11-08T09:58:56Z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