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温县接待办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温县接待办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机构设置情况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温县县委县政府接待办无内设机构。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1、负责贯彻执行县委、政府关于政务接待工作的各项政策规定。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2、负责接待来广饶的党和国家领导人、省部级领导干部，来广饶参观、考察的县（市）级及以上党政团组和领导交办的其他接待工作；配合做好全县大型活动及重要来宾的接待工作。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3、负责编制和落实接待方案、接待手册、工作细则。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4、负责接待信息的收集、办理，接待档案的收集、整理、汇编。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5、完成领导交办的其他工作任务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我单位有二级机构0个，本预算为本级预算。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eastAsia="仿宋_GB2312"/>
          <w:sz w:val="32"/>
          <w:szCs w:val="32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7.4938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6.76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人员工资增加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温县接待办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7.4938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6.76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人员工资增加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温县接待办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118.36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114.65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2.74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0.97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温县接待办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18.36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17.52</w:t>
      </w:r>
      <w:r>
        <w:rPr>
          <w:rFonts w:hint="eastAsia" w:ascii="仿宋_GB2312" w:eastAsia="仿宋_GB2312"/>
          <w:sz w:val="32"/>
          <w:szCs w:val="32"/>
        </w:rPr>
        <w:t>万元，基本工资、津贴补贴、绩效工资、机关事业单位基本养老保险缴费、医疗保险缴费、其他社会保障缴费；公用经费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0.84</w:t>
      </w:r>
      <w:r>
        <w:rPr>
          <w:rFonts w:hint="eastAsia" w:ascii="仿宋_GB2312" w:eastAsia="仿宋_GB2312"/>
          <w:sz w:val="32"/>
          <w:szCs w:val="32"/>
        </w:rPr>
        <w:t>万元，主要包括：办公费。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0万元，与2017年数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/>
          <w:sz w:val="32"/>
        </w:rPr>
        <w:t>0</w:t>
      </w:r>
      <w:r>
        <w:rPr>
          <w:rFonts w:hint="eastAsia" w:ascii="仿宋_GB2312" w:hAnsi="仿宋_GB2312" w:eastAsia="仿宋_GB2312"/>
          <w:kern w:val="0"/>
          <w:sz w:val="32"/>
        </w:rPr>
        <w:t>万</w:t>
      </w:r>
      <w:r>
        <w:rPr>
          <w:rFonts w:hint="eastAsia" w:ascii="仿宋_GB2312" w:hAnsi="仿宋_GB2312" w:eastAsia="仿宋_GB2312"/>
          <w:sz w:val="32"/>
        </w:rPr>
        <w:t>元。其中公务车辆购置费0万元。与2017年数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  <w:r>
        <w:rPr>
          <w:rFonts w:hint="eastAsia" w:ascii="仿宋_GB2312" w:hAnsi="仿宋_GB2312" w:eastAsia="仿宋_GB2312"/>
          <w:sz w:val="32"/>
        </w:rPr>
        <w:t>公车运行维护费0万元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Chars="200" w:firstLine="319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2017年，我单位未开展绩效评价。2018年，我单位部门预算纳入绩效管理的支出总额为118.36万元，其中人员经费支出17.52万元，公用经费支出0.84万元，支出项目共1个，支出总额100万元.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温县接待办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127.07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122.29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numPr>
          <w:numId w:val="0"/>
        </w:numPr>
        <w:wordWrap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八、县委县政府接待办支出：用于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负责贯彻执行县委、政府关于政务接待工作的各项政策规定以及接待方面的支出。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2018-11-08T10:01:56Z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