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2018年度温县人大委会预算公开</w:t>
      </w:r>
    </w:p>
    <w:p>
      <w:pPr>
        <w:kinsoku w:val="0"/>
        <w:overflowPunct w:val="0"/>
        <w:adjustRightInd w:val="0"/>
        <w:snapToGrid w:val="0"/>
        <w:spacing w:line="360" w:lineRule="auto"/>
        <w:ind w:left="101" w:right="3569" w:firstLine="640" w:firstLineChars="200"/>
        <w:rPr>
          <w:rFonts w:ascii="仿宋_GB2312" w:hAnsi="仿宋_GB2312" w:eastAsia="仿宋_GB2312" w:cs="仿宋_GB2312"/>
          <w:sz w:val="32"/>
          <w:szCs w:val="32"/>
        </w:rPr>
      </w:pPr>
    </w:p>
    <w:p>
      <w:pPr>
        <w:kinsoku w:val="0"/>
        <w:overflowPunct w:val="0"/>
        <w:adjustRightInd w:val="0"/>
        <w:snapToGrid w:val="0"/>
        <w:spacing w:line="360" w:lineRule="auto"/>
        <w:ind w:left="-142" w:right="51" w:firstLine="30" w:firstLineChars="7"/>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目</w:t>
      </w:r>
      <w:r>
        <w:rPr>
          <w:rFonts w:hint="eastAsia" w:ascii="仿宋_GB2312" w:hAnsi="仿宋_GB2312" w:eastAsia="仿宋_GB2312" w:cs="仿宋_GB2312"/>
          <w:spacing w:val="2"/>
          <w:sz w:val="44"/>
          <w:szCs w:val="44"/>
        </w:rPr>
        <w:t xml:space="preserve"> </w:t>
      </w:r>
      <w:r>
        <w:rPr>
          <w:rFonts w:hint="eastAsia" w:ascii="仿宋_GB2312" w:hAnsi="仿宋_GB2312" w:eastAsia="仿宋_GB2312" w:cs="仿宋_GB2312"/>
          <w:sz w:val="44"/>
          <w:szCs w:val="44"/>
        </w:rPr>
        <w:t>录</w:t>
      </w:r>
    </w:p>
    <w:p>
      <w:pPr>
        <w:kinsoku w:val="0"/>
        <w:overflowPunct w:val="0"/>
        <w:adjustRightInd w:val="0"/>
        <w:snapToGrid w:val="0"/>
        <w:spacing w:line="360" w:lineRule="auto"/>
        <w:ind w:right="3569" w:firstLine="640" w:firstLineChars="200"/>
        <w:rPr>
          <w:rFonts w:ascii="仿宋_GB2312" w:hAnsi="仿宋_GB2312" w:eastAsia="仿宋_GB2312" w:cs="仿宋_GB2312"/>
          <w:w w:val="99"/>
          <w:sz w:val="32"/>
          <w:szCs w:val="32"/>
        </w:rPr>
      </w:pPr>
      <w:r>
        <w:rPr>
          <w:rFonts w:hint="eastAsia" w:ascii="仿宋_GB2312" w:hAnsi="仿宋_GB2312" w:eastAsia="仿宋_GB2312" w:cs="仿宋_GB2312"/>
          <w:sz w:val="32"/>
          <w:szCs w:val="32"/>
        </w:rPr>
        <w:t>第一部分  概况</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3569"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insoku w:val="0"/>
        <w:overflowPunct w:val="0"/>
        <w:adjustRightInd w:val="0"/>
        <w:snapToGrid w:val="0"/>
        <w:spacing w:line="360" w:lineRule="auto"/>
        <w:ind w:right="3569"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insoku w:val="0"/>
        <w:overflowPunct w:val="0"/>
        <w:adjustRightInd w:val="0"/>
        <w:snapToGrid w:val="0"/>
        <w:spacing w:line="360" w:lineRule="auto"/>
        <w:ind w:right="521" w:firstLine="640" w:firstLineChars="200"/>
        <w:rPr>
          <w:rFonts w:ascii="仿宋_GB2312" w:hAnsi="仿宋_GB2312" w:eastAsia="仿宋_GB2312" w:cs="仿宋_GB2312"/>
          <w:w w:val="99"/>
          <w:sz w:val="32"/>
          <w:szCs w:val="32"/>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119"/>
          <w:sz w:val="32"/>
          <w:szCs w:val="32"/>
        </w:rPr>
        <w:t xml:space="preserve">      </w:t>
      </w:r>
      <w:r>
        <w:rPr>
          <w:rFonts w:hint="eastAsia" w:ascii="仿宋_GB2312" w:hAnsi="仿宋_GB2312" w:eastAsia="仿宋_GB2312" w:cs="仿宋_GB2312"/>
          <w:sz w:val="32"/>
          <w:szCs w:val="32"/>
        </w:rPr>
        <w:t>2018年度部门预算情况说明</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521"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第三部分</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名词解释</w:t>
      </w:r>
    </w:p>
    <w:p>
      <w:pPr>
        <w:kinsoku w:val="0"/>
        <w:overflowPunct w:val="0"/>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 xml:space="preserve"> 2018年度部门预算表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七、“三公”经费支出情况表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九、机关运行经费</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十、国有资本经营预算收支情况表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十一、项目绩效目标申报表</w:t>
      </w:r>
    </w:p>
    <w:p>
      <w:pPr>
        <w:kinsoku w:val="0"/>
        <w:overflowPunct w:val="0"/>
        <w:adjustRightInd w:val="0"/>
        <w:snapToGrid w:val="0"/>
        <w:spacing w:line="360" w:lineRule="auto"/>
        <w:ind w:left="101" w:right="521" w:firstLine="640" w:firstLineChars="200"/>
        <w:rPr>
          <w:rFonts w:ascii="仿宋_GB2312" w:hAnsi="仿宋_GB2312" w:eastAsia="仿宋_GB2312" w:cs="仿宋_GB2312"/>
          <w:sz w:val="32"/>
          <w:szCs w:val="32"/>
        </w:rPr>
      </w:pPr>
    </w:p>
    <w:p>
      <w:pPr>
        <w:adjustRightInd w:val="0"/>
        <w:snapToGrid w:val="0"/>
        <w:spacing w:line="600" w:lineRule="exact"/>
        <w:rPr>
          <w:rFonts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rPr>
        <w:t xml:space="preserve">                    </w:t>
      </w:r>
      <w:r>
        <w:rPr>
          <w:rFonts w:hint="eastAsia" w:ascii="方正小标宋简体" w:hAnsi="方正小标宋简体" w:eastAsia="方正小标宋简体" w:cs="方正小标宋简体"/>
          <w:sz w:val="32"/>
          <w:szCs w:val="32"/>
        </w:rPr>
        <w:t xml:space="preserve"> 第一部分</w:t>
      </w:r>
    </w:p>
    <w:p>
      <w:pPr>
        <w:adjustRightInd w:val="0"/>
        <w:snapToGrid w:val="0"/>
        <w:spacing w:line="600" w:lineRule="exact"/>
        <w:jc w:val="center"/>
        <w:rPr>
          <w:rFonts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rPr>
        <w:t>温县人大常委会</w:t>
      </w:r>
      <w:r>
        <w:rPr>
          <w:rFonts w:hint="eastAsia" w:ascii="方正小标宋简体" w:hAnsi="方正小标宋简体" w:eastAsia="方正小标宋简体" w:cs="方正小标宋简体"/>
          <w:sz w:val="32"/>
          <w:szCs w:val="32"/>
        </w:rPr>
        <w:t>概况</w:t>
      </w:r>
    </w:p>
    <w:p>
      <w:pPr>
        <w:adjustRightInd w:val="0"/>
        <w:snapToGrid w:val="0"/>
        <w:spacing w:line="600" w:lineRule="exact"/>
        <w:ind w:firstLine="640" w:firstLineChars="200"/>
        <w:jc w:val="center"/>
        <w:rPr>
          <w:rFonts w:ascii="黑体" w:hAnsi="黑体" w:eastAsia="黑体"/>
          <w:sz w:val="32"/>
          <w:szCs w:val="32"/>
        </w:rPr>
      </w:pPr>
    </w:p>
    <w:p>
      <w:pPr>
        <w:numPr>
          <w:ilvl w:val="0"/>
          <w:numId w:val="1"/>
        </w:numPr>
        <w:adjustRightInd w:val="0"/>
        <w:snapToGrid w:val="0"/>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主要职能</w:t>
      </w:r>
    </w:p>
    <w:p>
      <w:pPr>
        <w:numPr>
          <w:ilvl w:val="0"/>
          <w:numId w:val="2"/>
        </w:numPr>
        <w:kinsoku w:val="0"/>
        <w:overflowPunct w:val="0"/>
        <w:adjustRightInd w:val="0"/>
        <w:snapToGrid w:val="0"/>
        <w:spacing w:line="600" w:lineRule="exact"/>
        <w:ind w:right="3569"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机构设置情况</w:t>
      </w:r>
    </w:p>
    <w:p>
      <w:pPr>
        <w:numPr>
          <w:numId w:val="0"/>
        </w:numPr>
        <w:autoSpaceDE w:val="0"/>
        <w:autoSpaceDN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温县人大常委会内设四委两室</w:t>
      </w:r>
      <w:r>
        <w:rPr>
          <w:rFonts w:hint="eastAsia" w:ascii="仿宋_GB2312" w:hAnsi="仿宋_GB2312" w:eastAsia="仿宋_GB2312" w:cs="仿宋_GB2312"/>
          <w:sz w:val="32"/>
          <w:szCs w:val="32"/>
          <w:lang w:eastAsia="zh-CN"/>
        </w:rPr>
        <w:t>：</w:t>
      </w:r>
      <w:r>
        <w:rPr>
          <w:rFonts w:hint="eastAsia" w:ascii="仿宋_GB2312" w:hAnsi="Times New Roman" w:eastAsia="仿宋_GB2312"/>
          <w:sz w:val="32"/>
        </w:rPr>
        <w:t>办公室（挂信访办公室牌子）。</w:t>
      </w:r>
      <w:r>
        <w:rPr>
          <w:rFonts w:hint="eastAsia" w:ascii="Times New Roman" w:hAnsi="Times New Roman" w:eastAsia="仿宋_GB2312"/>
          <w:sz w:val="32"/>
        </w:rPr>
        <w:t>选举任免代表联络工作委员会。法治工作委员会。农业、财政、经贸、建设工作委员会。科学、教育、文化、卫生工作委员会。</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（二）部门职责</w:t>
      </w:r>
    </w:p>
    <w:p>
      <w:pPr>
        <w:widowControl w:val="0"/>
        <w:wordWrap/>
        <w:adjustRightInd w:val="0"/>
        <w:snapToGrid w:val="0"/>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）在本行政区域内，保证宪法、法律、行政法规和上级人民代表大会及其常务委员会决议的遵守和执行；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）领导或者主持本级人民代表大会代表的选举；（</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）召集本级人民代表大会会议；（</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）讨论、决定本行政区域内的政治、经济、教育、科学、文化、卫生、环境和资源保护、民政、民族等工作的重大事项；（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）根据本级人民政府的建议，决定对本行政区域内的国民经济和社会发展计划、预算的部分变更；（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）监督本级人民政府、人民法院和人民检察院的工作，联系本级人民代表大会代表，受理人民群众对上述机关和国家工作人员的申诉和意见；（</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）撤销下一级人民代表大会及其常务委员会的不适当的决议；（</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）撤销本级人民政府的不适当的决定和命令；（</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在本级人民代表大会闭会期间，决定副县长的个别任免；在县长和人民法院院长、人民检察院检察长因故不能担任职务的时候，从本级人民政府、人民法院、人民检察院副职领导人员中决定代理的人选；决定代理检察长，须报上一级人民检察院和人民代表大会常务委员会备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）根据县长的提名，决定本级人民政府办公室主任、局长、委员会主任的任免，报上一级人民政府备案；（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）按照人民法院组织法和人民检察院组织法的规定，任免人民法院副院长、庭长、副庭长、审判委员会委员、审判员，任免人民检察院副检察长、检察委员会委员、检察员，批准任免下一级人民检察院检察长；（</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在本级人民代表大会闭会期间，决定撤销个别副县长的职务；决定撤销由它任命的本级人民政府其他组成人员和人民法院副院长、庭长、副庭长、审判委员会委员、审判员，人民检察院副检察长、检察委员会委员、检察员，中级人民法院院长，人民检察院分院检察长的职务；（</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）在本级人民代表大会闭会期间，补选上一级人民代表大会出缺的代表和罢免个别代表；（</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）决定授予地方的荣誉称号</w:t>
      </w:r>
      <w:r>
        <w:rPr>
          <w:rFonts w:hint="eastAsia" w:ascii="仿宋_GB2312" w:hAnsi="仿宋_GB2312" w:eastAsia="仿宋_GB2312" w:cs="仿宋_GB2312"/>
          <w:sz w:val="32"/>
          <w:szCs w:val="32"/>
          <w:lang w:eastAsia="zh-CN"/>
        </w:rPr>
        <w:t>。</w:t>
      </w:r>
    </w:p>
    <w:p>
      <w:pPr>
        <w:numPr>
          <w:numId w:val="0"/>
        </w:numPr>
        <w:wordWrap/>
        <w:adjustRightInd w:val="0"/>
        <w:snapToGrid w:val="0"/>
        <w:spacing w:before="0" w:after="0" w:line="600" w:lineRule="exact"/>
        <w:ind w:leftChars="200"/>
        <w:textAlignment w:val="auto"/>
        <w:outlineLvl w:val="0"/>
        <w:rPr>
          <w:rFonts w:hint="eastAsia" w:ascii="仿宋" w:hAnsi="仿宋" w:eastAsia="仿宋" w:cs="仿宋"/>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 二、部门预算单位构成</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我单位有二级机构0个，本预算为本级单位预算。</w:t>
      </w:r>
    </w:p>
    <w:p>
      <w:pPr>
        <w:widowControl/>
        <w:shd w:val="clear" w:color="auto" w:fill="FFFFFF"/>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  </w:t>
      </w:r>
    </w:p>
    <w:p>
      <w:pPr>
        <w:adjustRightInd w:val="0"/>
        <w:snapToGrid w:val="0"/>
        <w:spacing w:line="600" w:lineRule="exact"/>
        <w:ind w:firstLine="640" w:firstLineChars="200"/>
        <w:rPr>
          <w:rFonts w:ascii="仿宋_GB2312" w:hAnsi="仿宋_GB2312" w:eastAsia="仿宋_GB2312" w:cs="仿宋_GB2312"/>
          <w:sz w:val="32"/>
          <w:szCs w:val="32"/>
        </w:rPr>
      </w:pPr>
    </w:p>
    <w:p>
      <w:pPr>
        <w:adjustRightInd w:val="0"/>
        <w:snapToGrid w:val="0"/>
        <w:spacing w:line="600" w:lineRule="exact"/>
        <w:jc w:val="center"/>
        <w:rPr>
          <w:rFonts w:ascii="方正小标宋简体" w:hAnsi="方正小标宋简体" w:eastAsia="方正小标宋简体" w:cs="方正小标宋简体"/>
          <w:spacing w:val="-38"/>
          <w:sz w:val="32"/>
          <w:szCs w:val="32"/>
        </w:rPr>
      </w:pPr>
      <w:r>
        <w:rPr>
          <w:rFonts w:hint="eastAsia" w:ascii="方正小标宋简体" w:hAnsi="方正小标宋简体" w:eastAsia="方正小标宋简体" w:cs="方正小标宋简体"/>
          <w:sz w:val="32"/>
          <w:szCs w:val="32"/>
        </w:rPr>
        <w:t>第二部分</w:t>
      </w:r>
    </w:p>
    <w:p>
      <w:pPr>
        <w:adjustRightInd w:val="0"/>
        <w:snapToGrid w:val="0"/>
        <w:spacing w:line="6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 xml:space="preserve"> 2018年度部门预算情况说明</w:t>
      </w:r>
    </w:p>
    <w:p>
      <w:pPr>
        <w:adjustRightInd w:val="0"/>
        <w:snapToGrid w:val="0"/>
        <w:spacing w:line="600" w:lineRule="exact"/>
        <w:ind w:firstLine="640" w:firstLineChars="200"/>
        <w:rPr>
          <w:rFonts w:ascii="方正小标宋简体" w:hAnsi="方正小标宋简体" w:eastAsia="方正小标宋简体" w:cs="方正小标宋简体"/>
          <w:sz w:val="32"/>
          <w:szCs w:val="32"/>
        </w:rPr>
      </w:pPr>
    </w:p>
    <w:p>
      <w:pPr>
        <w:adjustRightInd w:val="0"/>
        <w:snapToGrid w:val="0"/>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一、收入支出预算总体情况说明</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温县人大常委会2018年收入总计 </w:t>
      </w:r>
      <w:r>
        <w:rPr>
          <w:rFonts w:ascii="仿宋_GB2312" w:hAnsi="仿宋_GB2312" w:eastAsia="仿宋_GB2312" w:cs="仿宋_GB2312"/>
          <w:sz w:val="32"/>
          <w:szCs w:val="32"/>
        </w:rPr>
        <w:t>228.34</w:t>
      </w:r>
      <w:r>
        <w:rPr>
          <w:rFonts w:hint="eastAsia" w:ascii="仿宋_GB2312" w:hAnsi="仿宋_GB2312" w:eastAsia="仿宋_GB2312" w:cs="仿宋_GB2312"/>
          <w:sz w:val="32"/>
          <w:szCs w:val="32"/>
        </w:rPr>
        <w:t>万元，支出总计</w:t>
      </w:r>
      <w:r>
        <w:rPr>
          <w:rFonts w:ascii="仿宋_GB2312" w:hAnsi="仿宋_GB2312" w:eastAsia="仿宋_GB2312" w:cs="仿宋_GB2312"/>
          <w:sz w:val="32"/>
          <w:szCs w:val="32"/>
        </w:rPr>
        <w:t>228.34</w:t>
      </w:r>
      <w:r>
        <w:rPr>
          <w:rFonts w:hint="eastAsia" w:ascii="仿宋_GB2312" w:hAnsi="仿宋_GB2312" w:eastAsia="仿宋_GB2312" w:cs="仿宋_GB2312"/>
          <w:sz w:val="32"/>
          <w:szCs w:val="32"/>
        </w:rPr>
        <w:t>万元，与2017年相比，收、支总计各</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3.01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工资晋级晋档，略有增长。</w:t>
      </w:r>
    </w:p>
    <w:p>
      <w:pPr>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二、收入预算总体情况说明</w:t>
      </w:r>
    </w:p>
    <w:p>
      <w:pPr>
        <w:widowControl/>
        <w:shd w:val="clear" w:color="auto" w:fill="FFFFFF"/>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温县人大常委会2018年收入合计 </w:t>
      </w:r>
      <w:r>
        <w:rPr>
          <w:rFonts w:ascii="仿宋_GB2312" w:hAnsi="仿宋_GB2312" w:eastAsia="仿宋_GB2312" w:cs="仿宋_GB2312"/>
          <w:sz w:val="32"/>
          <w:szCs w:val="32"/>
        </w:rPr>
        <w:t>228.34</w:t>
      </w:r>
      <w:r>
        <w:rPr>
          <w:rFonts w:hint="eastAsia" w:ascii="仿宋_GB2312" w:hAnsi="仿宋_GB2312" w:eastAsia="仿宋_GB2312" w:cs="仿宋_GB2312"/>
          <w:sz w:val="32"/>
          <w:szCs w:val="32"/>
        </w:rPr>
        <w:t>万元，其中：一般公共预算合计</w:t>
      </w:r>
      <w:r>
        <w:rPr>
          <w:rFonts w:ascii="仿宋_GB2312" w:hAnsi="仿宋_GB2312" w:eastAsia="仿宋_GB2312" w:cs="仿宋_GB2312"/>
          <w:sz w:val="32"/>
          <w:szCs w:val="32"/>
        </w:rPr>
        <w:t>228.34</w:t>
      </w:r>
      <w:r>
        <w:rPr>
          <w:rFonts w:hint="eastAsia" w:ascii="仿宋_GB2312" w:hAnsi="仿宋_GB2312" w:eastAsia="仿宋_GB2312" w:cs="仿宋_GB2312"/>
          <w:sz w:val="32"/>
          <w:szCs w:val="32"/>
        </w:rPr>
        <w:t>万元，本级财力</w:t>
      </w:r>
      <w:r>
        <w:rPr>
          <w:rFonts w:ascii="仿宋_GB2312" w:hAnsi="仿宋_GB2312" w:eastAsia="仿宋_GB2312" w:cs="仿宋_GB2312"/>
          <w:sz w:val="32"/>
          <w:szCs w:val="32"/>
        </w:rPr>
        <w:t>228.34</w:t>
      </w:r>
      <w:r>
        <w:rPr>
          <w:rFonts w:hint="eastAsia" w:ascii="仿宋_GB2312" w:hAnsi="仿宋_GB2312" w:eastAsia="仿宋_GB2312" w:cs="仿宋_GB2312"/>
          <w:sz w:val="32"/>
          <w:szCs w:val="32"/>
        </w:rPr>
        <w:t>万元，非税收入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万元，上级转移支付收入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万元，其他收入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 xml:space="preserve">万元；政府性基金收入 </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pPr>
        <w:spacing w:line="600" w:lineRule="exact"/>
        <w:ind w:firstLine="640" w:firstLineChars="200"/>
        <w:outlineLvl w:val="0"/>
        <w:rPr>
          <w:rFonts w:ascii="仿宋_GB2312" w:hAnsi="仿宋_GB2312" w:eastAsia="仿宋_GB2312" w:cs="仿宋_GB2312"/>
          <w:sz w:val="32"/>
          <w:szCs w:val="32"/>
        </w:rPr>
      </w:pPr>
      <w:r>
        <w:rPr>
          <w:rFonts w:hint="eastAsia" w:ascii="黑体" w:hAnsi="黑体" w:eastAsia="黑体"/>
          <w:sz w:val="32"/>
          <w:szCs w:val="32"/>
        </w:rPr>
        <w:t>三、支出预算总体情况说明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u w:val="none" w:color="000000"/>
          <w:lang w:val="en-US" w:eastAsia="zh-CN" w:bidi="ar-SA"/>
        </w:rPr>
        <w:t>温县人大常委会2018年支出合计228.34万元，其中：基本支出182.04万元，占比为79.72%；项目支出46.3万元，占比为 20.28%。</w:t>
      </w:r>
    </w:p>
    <w:p>
      <w:pPr>
        <w:spacing w:line="600" w:lineRule="exact"/>
        <w:ind w:firstLine="640" w:firstLineChars="200"/>
        <w:outlineLvl w:val="0"/>
        <w:rPr>
          <w:rFonts w:hint="eastAsia" w:ascii="黑体" w:hAnsi="黑体" w:eastAsia="黑体"/>
          <w:sz w:val="32"/>
          <w:szCs w:val="32"/>
        </w:rPr>
      </w:pPr>
      <w:r>
        <w:rPr>
          <w:rFonts w:hint="eastAsia" w:ascii="黑体" w:hAnsi="黑体" w:eastAsia="黑体"/>
          <w:sz w:val="32"/>
          <w:szCs w:val="32"/>
        </w:rPr>
        <w:t>四、财政拨款收入支出预算总体情况说明</w:t>
      </w:r>
    </w:p>
    <w:p>
      <w:pPr>
        <w:spacing w:line="600" w:lineRule="exact"/>
        <w:ind w:firstLine="640" w:firstLineChars="200"/>
        <w:rPr>
          <w:rFonts w:hint="eastAsia" w:ascii="仿宋_GB2312" w:hAnsi="仿宋_GB2312" w:eastAsia="仿宋_GB2312" w:cs="仿宋_GB2312"/>
          <w:color w:val="000000"/>
          <w:kern w:val="2"/>
          <w:sz w:val="32"/>
          <w:szCs w:val="32"/>
          <w:u w:val="none" w:color="000000"/>
          <w:lang w:val="en-US" w:eastAsia="zh-CN" w:bidi="ar-SA"/>
        </w:rPr>
      </w:pPr>
      <w:r>
        <w:rPr>
          <w:rFonts w:hint="eastAsia" w:ascii="仿宋_GB2312" w:hAnsi="仿宋_GB2312" w:eastAsia="仿宋_GB2312" w:cs="仿宋_GB2312"/>
          <w:color w:val="000000"/>
          <w:kern w:val="2"/>
          <w:sz w:val="32"/>
          <w:szCs w:val="32"/>
          <w:u w:val="none" w:color="000000"/>
          <w:lang w:val="en-US" w:eastAsia="zh-CN" w:bidi="ar-SA"/>
        </w:rPr>
        <w:t>温县人大常委会2018年一般公共预算收支预算228.34万元。政府性基金收支预算0万元，与 2017年相比，一般公共预算收支预算增加3.0122万元，增长1.34%，主要原因：单位人员工资增加；政府性基金收支增加0万元，增长0%,与2017年保持一致,无变化。</w:t>
      </w:r>
    </w:p>
    <w:p>
      <w:pPr>
        <w:spacing w:line="600" w:lineRule="exact"/>
        <w:ind w:firstLine="640" w:firstLineChars="200"/>
        <w:outlineLvl w:val="0"/>
        <w:rPr>
          <w:rFonts w:hint="eastAsia" w:ascii="黑体" w:hAnsi="黑体" w:eastAsia="黑体"/>
          <w:sz w:val="32"/>
          <w:szCs w:val="32"/>
          <w:lang w:val="en-US" w:eastAsia="zh-CN"/>
        </w:rPr>
      </w:pPr>
      <w:r>
        <w:rPr>
          <w:rFonts w:hint="eastAsia" w:ascii="黑体" w:hAnsi="黑体" w:eastAsia="黑体"/>
          <w:sz w:val="32"/>
          <w:szCs w:val="32"/>
          <w:lang w:val="en-US" w:eastAsia="zh-CN"/>
        </w:rPr>
        <w:t>五、一般公共预算支出预算情况说明</w:t>
      </w:r>
    </w:p>
    <w:p>
      <w:pPr>
        <w:spacing w:line="600" w:lineRule="exact"/>
        <w:ind w:firstLine="640" w:firstLineChars="200"/>
        <w:rPr>
          <w:rFonts w:hint="eastAsia" w:ascii="仿宋_GB2312" w:hAnsi="仿宋_GB2312" w:eastAsia="仿宋_GB2312" w:cs="仿宋_GB2312"/>
          <w:color w:val="000000"/>
          <w:kern w:val="2"/>
          <w:sz w:val="32"/>
          <w:szCs w:val="32"/>
          <w:u w:val="none" w:color="000000"/>
          <w:lang w:val="en-US" w:eastAsia="zh-CN" w:bidi="ar-SA"/>
        </w:rPr>
      </w:pPr>
      <w:r>
        <w:rPr>
          <w:rFonts w:hint="eastAsia" w:ascii="仿宋_GB2312" w:hAnsi="仿宋_GB2312" w:eastAsia="仿宋_GB2312" w:cs="仿宋_GB2312"/>
          <w:color w:val="000000"/>
          <w:kern w:val="2"/>
          <w:sz w:val="32"/>
          <w:szCs w:val="32"/>
          <w:u w:val="none" w:color="000000"/>
          <w:lang w:val="en-US" w:eastAsia="zh-CN" w:bidi="ar-SA"/>
        </w:rPr>
        <w:t>温县人大常委会2018年一般公共预算支出年初预算为228.34万元。主要用于以下方面：一般公共服务支出195.95万元，占85.8%；社会保障和就业支出23.87万元，占10.5%；医疗卫生与计划生育支出8.52万元，占3.7%。</w:t>
      </w:r>
    </w:p>
    <w:p>
      <w:pPr>
        <w:spacing w:line="600" w:lineRule="exact"/>
        <w:ind w:firstLine="640" w:firstLineChars="200"/>
        <w:outlineLvl w:val="0"/>
        <w:rPr>
          <w:rFonts w:hint="eastAsia" w:ascii="黑体" w:hAnsi="黑体" w:eastAsia="黑体"/>
          <w:sz w:val="32"/>
          <w:szCs w:val="32"/>
          <w:lang w:val="en-US" w:eastAsia="zh-CN"/>
        </w:rPr>
      </w:pPr>
      <w:r>
        <w:rPr>
          <w:rFonts w:hint="eastAsia" w:ascii="黑体" w:hAnsi="黑体" w:eastAsia="黑体"/>
          <w:sz w:val="32"/>
          <w:szCs w:val="32"/>
          <w:lang w:val="en-US" w:eastAsia="zh-CN"/>
        </w:rPr>
        <w:t>六、一般公共预算基本支出预算情况说明</w:t>
      </w:r>
    </w:p>
    <w:p>
      <w:pPr>
        <w:spacing w:line="600" w:lineRule="exact"/>
        <w:ind w:firstLine="640" w:firstLineChars="200"/>
        <w:rPr>
          <w:rFonts w:hint="eastAsia" w:ascii="仿宋_GB2312" w:hAnsi="仿宋_GB2312" w:eastAsia="仿宋_GB2312" w:cs="仿宋_GB2312"/>
          <w:color w:val="000000"/>
          <w:kern w:val="2"/>
          <w:sz w:val="32"/>
          <w:szCs w:val="32"/>
          <w:u w:val="none" w:color="000000"/>
          <w:lang w:val="en-US" w:eastAsia="zh-CN" w:bidi="ar-SA"/>
        </w:rPr>
      </w:pPr>
      <w:r>
        <w:rPr>
          <w:rFonts w:hint="eastAsia" w:ascii="仿宋_GB2312" w:hAnsi="仿宋_GB2312" w:eastAsia="仿宋_GB2312" w:cs="仿宋_GB2312"/>
          <w:color w:val="000000"/>
          <w:kern w:val="2"/>
          <w:sz w:val="32"/>
          <w:szCs w:val="32"/>
          <w:u w:val="none" w:color="000000"/>
          <w:lang w:val="en-US" w:eastAsia="zh-CN" w:bidi="ar-SA"/>
        </w:rPr>
        <w:t>温县人大常委会2018年一般公共预算基本支出182.04万元，其中：人员经费156.39万元，主要包括：基本工资、津贴补贴、绩效工资、机关事业单位基本养老保险缴费、医疗保险缴费、其他社会保障缴费、其他工资福利支出；公用经费25.65万元，主要包括：办公费、印刷费、邮电费、差旅费、维修（护）费、培训费、公务接待费、劳务费、其他交通费用。</w:t>
      </w:r>
    </w:p>
    <w:p>
      <w:pPr>
        <w:spacing w:line="600" w:lineRule="exact"/>
        <w:ind w:firstLine="640" w:firstLineChars="200"/>
        <w:outlineLvl w:val="0"/>
        <w:rPr>
          <w:rFonts w:ascii="黑体" w:hAnsi="黑体" w:eastAsia="黑体"/>
          <w:sz w:val="32"/>
          <w:szCs w:val="32"/>
        </w:rPr>
      </w:pPr>
      <w:r>
        <w:rPr>
          <w:rFonts w:hint="eastAsia" w:ascii="黑体" w:hAnsi="黑体" w:eastAsia="黑体"/>
          <w:kern w:val="0"/>
          <w:sz w:val="32"/>
          <w:szCs w:val="32"/>
          <w:lang w:eastAsia="zh-CN"/>
        </w:rPr>
        <w:t>七</w:t>
      </w:r>
      <w:r>
        <w:rPr>
          <w:rFonts w:hint="eastAsia" w:ascii="黑体" w:hAnsi="黑体" w:eastAsia="黑体"/>
          <w:kern w:val="0"/>
          <w:sz w:val="32"/>
          <w:szCs w:val="32"/>
        </w:rPr>
        <w:t>、“三公”经费支出预算情况说明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温县人大常委会2018 年“三公”经费预算为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万元。2018年“三公”经费支出预算数比 2017年预算数减少</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万元</w:t>
      </w:r>
      <w:bookmarkStart w:id="0" w:name="_GoBack"/>
      <w:bookmarkEnd w:id="0"/>
      <w:r>
        <w:rPr>
          <w:rFonts w:hint="eastAsia" w:ascii="仿宋_GB2312" w:hAnsi="仿宋_GB2312" w:eastAsia="仿宋_GB2312" w:cs="仿宋_GB2312"/>
          <w:sz w:val="32"/>
          <w:szCs w:val="32"/>
        </w:rPr>
        <w:t>。</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具体支出情况如下：</w:t>
      </w:r>
    </w:p>
    <w:p>
      <w:pPr>
        <w:numPr>
          <w:ilvl w:val="0"/>
          <w:numId w:val="3"/>
        </w:numPr>
        <w:kinsoku w:val="0"/>
        <w:overflowPunct w:val="0"/>
        <w:autoSpaceDE w:val="0"/>
        <w:autoSpaceDN w:val="0"/>
        <w:adjustRightInd w:val="0"/>
        <w:snapToGrid w:val="0"/>
        <w:spacing w:line="600" w:lineRule="exact"/>
        <w:ind w:firstLine="639" w:firstLineChars="200"/>
        <w:rPr>
          <w:rFonts w:ascii="仿宋_GB2312" w:hAnsi="仿宋_GB2312" w:eastAsia="仿宋_GB2312" w:cs="仿宋_GB2312"/>
          <w:sz w:val="32"/>
          <w:szCs w:val="32"/>
        </w:rPr>
      </w:pPr>
      <w:r>
        <w:rPr>
          <w:rFonts w:hint="eastAsia" w:ascii="仿宋_GB2312" w:hAnsi="仿宋_GB2312" w:eastAsia="仿宋_GB2312" w:cs="仿宋_GB2312"/>
          <w:b/>
          <w:spacing w:val="-1"/>
          <w:kern w:val="0"/>
          <w:sz w:val="32"/>
          <w:szCs w:val="32"/>
        </w:rPr>
        <w:t>因公出国（境）费</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2017年数一致，增长0%。</w:t>
      </w:r>
    </w:p>
    <w:p>
      <w:pPr>
        <w:numPr>
          <w:ilvl w:val="0"/>
          <w:numId w:val="3"/>
        </w:numPr>
        <w:kinsoku w:val="0"/>
        <w:wordWrap/>
        <w:overflowPunct w:val="0"/>
        <w:autoSpaceDE w:val="0"/>
        <w:autoSpaceDN w:val="0"/>
        <w:adjustRightInd w:val="0"/>
        <w:snapToGrid w:val="0"/>
        <w:spacing w:before="0" w:after="0" w:line="600" w:lineRule="exact"/>
        <w:ind w:left="0" w:leftChars="0" w:firstLine="639"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pacing w:val="-1"/>
          <w:kern w:val="0"/>
          <w:sz w:val="32"/>
          <w:szCs w:val="32"/>
        </w:rPr>
        <w:t>公务用车购置及运行费</w:t>
      </w:r>
      <w:r>
        <w:rPr>
          <w:rFonts w:ascii="仿宋_GB2312" w:hAnsi="仿宋_GB2312" w:eastAsia="仿宋_GB2312" w:cs="仿宋_GB2312"/>
          <w:sz w:val="32"/>
          <w:szCs w:val="32"/>
        </w:rPr>
        <w:t>0</w:t>
      </w:r>
      <w:r>
        <w:rPr>
          <w:rFonts w:hint="eastAsia" w:ascii="仿宋_GB2312" w:hAnsi="仿宋_GB2312" w:eastAsia="仿宋_GB2312" w:cs="仿宋_GB2312"/>
          <w:kern w:val="0"/>
          <w:sz w:val="32"/>
          <w:szCs w:val="32"/>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sz w:val="32"/>
        </w:rPr>
        <w:t>其中公务车辆购置费0万元。与2017年数</w:t>
      </w:r>
      <w:r>
        <w:rPr>
          <w:rFonts w:hint="eastAsia" w:ascii="仿宋_GB2312" w:hAnsi="仿宋_GB2312" w:eastAsia="仿宋_GB2312" w:cs="仿宋_GB2312"/>
          <w:sz w:val="32"/>
          <w:szCs w:val="32"/>
          <w:lang w:eastAsia="zh-CN"/>
        </w:rPr>
        <w:t>持平</w:t>
      </w:r>
      <w:r>
        <w:rPr>
          <w:rFonts w:hint="eastAsia" w:ascii="仿宋_GB2312" w:hAnsi="仿宋_GB2312" w:eastAsia="仿宋_GB2312"/>
          <w:sz w:val="32"/>
          <w:lang w:eastAsia="zh-CN"/>
        </w:rPr>
        <w:t>，增长</w:t>
      </w:r>
      <w:r>
        <w:rPr>
          <w:rFonts w:hint="eastAsia" w:ascii="仿宋_GB2312" w:hAnsi="仿宋_GB2312" w:eastAsia="仿宋_GB2312"/>
          <w:sz w:val="32"/>
          <w:lang w:val="en-US" w:eastAsia="zh-CN"/>
        </w:rPr>
        <w:t>0%。</w:t>
      </w:r>
      <w:r>
        <w:rPr>
          <w:rFonts w:hint="eastAsia" w:ascii="仿宋_GB2312" w:hAnsi="仿宋_GB2312" w:eastAsia="仿宋_GB2312"/>
          <w:sz w:val="32"/>
        </w:rPr>
        <w:t>公车运行维护费0万元</w:t>
      </w:r>
      <w:r>
        <w:rPr>
          <w:rFonts w:hint="eastAsia" w:ascii="仿宋_GB2312" w:hAnsi="仿宋_GB2312" w:eastAsia="仿宋_GB2312"/>
          <w:sz w:val="32"/>
          <w:lang w:eastAsia="zh-CN"/>
        </w:rPr>
        <w:t>，</w:t>
      </w:r>
      <w:r>
        <w:rPr>
          <w:rFonts w:hint="eastAsia" w:ascii="仿宋_GB2312" w:hAnsi="仿宋_GB2312" w:eastAsia="仿宋_GB2312"/>
          <w:sz w:val="32"/>
        </w:rPr>
        <w:t>与2017年数</w:t>
      </w:r>
      <w:r>
        <w:rPr>
          <w:rFonts w:hint="eastAsia" w:ascii="仿宋_GB2312" w:hAnsi="仿宋_GB2312" w:eastAsia="仿宋_GB2312" w:cs="仿宋_GB2312"/>
          <w:sz w:val="32"/>
          <w:szCs w:val="32"/>
          <w:lang w:eastAsia="zh-CN"/>
        </w:rPr>
        <w:t>持平</w:t>
      </w:r>
      <w:r>
        <w:rPr>
          <w:rFonts w:hint="eastAsia" w:ascii="仿宋_GB2312" w:hAnsi="仿宋_GB2312" w:eastAsia="仿宋_GB2312"/>
          <w:sz w:val="32"/>
          <w:lang w:eastAsia="zh-CN"/>
        </w:rPr>
        <w:t>，增长</w:t>
      </w:r>
      <w:r>
        <w:rPr>
          <w:rFonts w:hint="eastAsia" w:ascii="仿宋_GB2312" w:hAnsi="仿宋_GB2312" w:eastAsia="仿宋_GB2312"/>
          <w:sz w:val="32"/>
          <w:lang w:val="en-US" w:eastAsia="zh-CN"/>
        </w:rPr>
        <w:t>0%。</w:t>
      </w:r>
    </w:p>
    <w:p>
      <w:pPr>
        <w:wordWrap/>
        <w:spacing w:before="0" w:after="0" w:line="600" w:lineRule="exac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spacing w:val="-1"/>
          <w:kern w:val="0"/>
          <w:sz w:val="32"/>
          <w:szCs w:val="32"/>
          <w:lang w:val="en-US" w:eastAsia="zh-CN"/>
        </w:rPr>
        <w:t xml:space="preserve">    </w:t>
      </w:r>
      <w:r>
        <w:rPr>
          <w:rFonts w:hint="eastAsia" w:ascii="仿宋_GB2312" w:hAnsi="仿宋_GB2312" w:eastAsia="仿宋_GB2312" w:cs="仿宋_GB2312"/>
          <w:b w:val="0"/>
          <w:bCs/>
          <w:spacing w:val="-1"/>
          <w:kern w:val="0"/>
          <w:sz w:val="32"/>
          <w:szCs w:val="32"/>
        </w:rPr>
        <w:t>（三）</w:t>
      </w:r>
      <w:r>
        <w:rPr>
          <w:rFonts w:hint="eastAsia" w:ascii="仿宋_GB2312" w:hAnsi="仿宋_GB2312" w:eastAsia="仿宋_GB2312" w:cs="仿宋_GB2312"/>
          <w:b/>
          <w:spacing w:val="-1"/>
          <w:kern w:val="0"/>
          <w:sz w:val="32"/>
          <w:szCs w:val="32"/>
        </w:rPr>
        <w:t>公务接待费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万元，主要用于相关部门检查指导工作、接待上级有关单位督导、检查、调研、访问、观摩等活动接待支出。比 2017年预算数减少</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,下降73.68%，</w:t>
      </w:r>
      <w:r>
        <w:rPr>
          <w:rFonts w:hint="eastAsia" w:ascii="仿宋_GB2312" w:hAnsi="仿宋_GB2312" w:eastAsia="仿宋_GB2312" w:cs="仿宋_GB2312"/>
          <w:color w:val="000000"/>
          <w:sz w:val="32"/>
          <w:szCs w:val="32"/>
        </w:rPr>
        <w:t>主要原因：</w:t>
      </w:r>
      <w:r>
        <w:rPr>
          <w:rFonts w:hint="eastAsia" w:ascii="仿宋_GB2312" w:hAnsi="仿宋_GB2312" w:eastAsia="仿宋_GB2312" w:cs="仿宋_GB2312"/>
          <w:color w:val="000000"/>
          <w:sz w:val="32"/>
          <w:szCs w:val="32"/>
          <w:lang w:val="en-US" w:eastAsia="zh-CN"/>
        </w:rPr>
        <w:t>贯彻厉行节约等规定</w:t>
      </w:r>
      <w:r>
        <w:rPr>
          <w:rFonts w:hint="eastAsia" w:ascii="仿宋_GB2312" w:hAnsi="仿宋_GB2312" w:eastAsia="仿宋_GB2312" w:cs="仿宋_GB2312"/>
          <w:sz w:val="32"/>
          <w:szCs w:val="32"/>
        </w:rPr>
        <w:t>。</w:t>
      </w:r>
    </w:p>
    <w:p>
      <w:pPr>
        <w:spacing w:line="600" w:lineRule="exact"/>
        <w:ind w:firstLine="640" w:firstLineChars="200"/>
        <w:outlineLvl w:val="0"/>
        <w:rPr>
          <w:rFonts w:ascii="黑体" w:hAnsi="黑体" w:eastAsia="黑体"/>
          <w:color w:val="auto"/>
          <w:sz w:val="32"/>
          <w:szCs w:val="32"/>
        </w:rPr>
      </w:pPr>
      <w:r>
        <w:rPr>
          <w:rFonts w:hint="eastAsia" w:ascii="黑体" w:hAnsi="黑体" w:eastAsia="黑体"/>
          <w:color w:val="auto"/>
          <w:kern w:val="0"/>
          <w:sz w:val="32"/>
          <w:szCs w:val="32"/>
          <w:lang w:eastAsia="zh-CN"/>
        </w:rPr>
        <w:t>八</w:t>
      </w:r>
      <w:r>
        <w:rPr>
          <w:rFonts w:hint="eastAsia" w:ascii="黑体" w:hAnsi="黑体" w:eastAsia="黑体"/>
          <w:color w:val="auto"/>
          <w:kern w:val="0"/>
          <w:sz w:val="32"/>
          <w:szCs w:val="32"/>
        </w:rPr>
        <w:t>、政府性基金预算支出</w:t>
      </w:r>
      <w:r>
        <w:rPr>
          <w:rFonts w:hint="eastAsia" w:ascii="黑体" w:hAnsi="黑体" w:eastAsia="黑体"/>
          <w:color w:val="auto"/>
          <w:kern w:val="0"/>
          <w:sz w:val="32"/>
          <w:szCs w:val="32"/>
          <w:lang w:eastAsia="zh-CN"/>
        </w:rPr>
        <w:t>预算</w:t>
      </w:r>
      <w:r>
        <w:rPr>
          <w:rFonts w:hint="eastAsia" w:ascii="黑体" w:hAnsi="黑体" w:eastAsia="黑体"/>
          <w:color w:val="auto"/>
          <w:kern w:val="0"/>
          <w:sz w:val="32"/>
          <w:szCs w:val="32"/>
        </w:rPr>
        <w:t>情况说明</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我单位2018年没有使用政府性基金预算拨款安排的收支。</w:t>
      </w:r>
    </w:p>
    <w:p>
      <w:pPr>
        <w:spacing w:line="600" w:lineRule="exact"/>
        <w:ind w:firstLine="640" w:firstLineChars="200"/>
        <w:rPr>
          <w:rFonts w:ascii="黑体" w:hAnsi="黑体" w:eastAsia="黑体"/>
          <w:color w:val="auto"/>
          <w:kern w:val="0"/>
          <w:sz w:val="32"/>
          <w:szCs w:val="32"/>
        </w:rPr>
      </w:pPr>
      <w:r>
        <w:rPr>
          <w:rFonts w:hint="eastAsia" w:ascii="黑体" w:hAnsi="黑体" w:eastAsia="黑体"/>
          <w:color w:val="auto"/>
          <w:sz w:val="32"/>
          <w:szCs w:val="32"/>
          <w:lang w:eastAsia="zh-CN"/>
        </w:rPr>
        <w:t>九</w:t>
      </w:r>
      <w:r>
        <w:rPr>
          <w:rFonts w:hint="eastAsia" w:ascii="黑体" w:hAnsi="黑体" w:eastAsia="黑体"/>
          <w:color w:val="auto"/>
          <w:sz w:val="32"/>
          <w:szCs w:val="32"/>
        </w:rPr>
        <w:t>、</w:t>
      </w:r>
      <w:r>
        <w:rPr>
          <w:rFonts w:hint="eastAsia" w:ascii="黑体" w:hAnsi="黑体" w:eastAsia="黑体"/>
          <w:color w:val="auto"/>
          <w:kern w:val="0"/>
          <w:sz w:val="32"/>
          <w:szCs w:val="32"/>
        </w:rPr>
        <w:t>国有资本经营预算支出</w:t>
      </w:r>
      <w:r>
        <w:rPr>
          <w:rFonts w:hint="eastAsia" w:ascii="黑体" w:hAnsi="黑体" w:eastAsia="黑体"/>
          <w:color w:val="auto"/>
          <w:kern w:val="0"/>
          <w:sz w:val="32"/>
          <w:szCs w:val="32"/>
          <w:lang w:eastAsia="zh-CN"/>
        </w:rPr>
        <w:t>预算</w:t>
      </w:r>
      <w:r>
        <w:rPr>
          <w:rFonts w:hint="eastAsia" w:ascii="黑体" w:hAnsi="黑体" w:eastAsia="黑体"/>
          <w:color w:val="auto"/>
          <w:kern w:val="0"/>
          <w:sz w:val="32"/>
          <w:szCs w:val="32"/>
        </w:rPr>
        <w:t>情况说明</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我单位2018年没有使用国有资本经营预算拨款安排的收支。</w:t>
      </w:r>
    </w:p>
    <w:p>
      <w:pPr>
        <w:kinsoku w:val="0"/>
        <w:overflowPunct w:val="0"/>
        <w:autoSpaceDE w:val="0"/>
        <w:autoSpaceDN w:val="0"/>
        <w:adjustRightInd w:val="0"/>
        <w:snapToGrid w:val="0"/>
        <w:spacing w:line="600" w:lineRule="exact"/>
        <w:ind w:firstLine="636" w:firstLineChars="200"/>
        <w:outlineLvl w:val="0"/>
        <w:rPr>
          <w:rFonts w:ascii="黑体" w:hAnsi="黑体" w:eastAsia="黑体"/>
          <w:sz w:val="32"/>
          <w:szCs w:val="32"/>
        </w:rPr>
      </w:pPr>
      <w:r>
        <w:rPr>
          <w:rFonts w:hint="eastAsia" w:ascii="黑体" w:hAnsi="黑体" w:eastAsia="黑体"/>
          <w:spacing w:val="-1"/>
          <w:kern w:val="0"/>
          <w:sz w:val="32"/>
          <w:szCs w:val="32"/>
          <w:lang w:eastAsia="zh-CN"/>
        </w:rPr>
        <w:t>十</w:t>
      </w:r>
      <w:r>
        <w:rPr>
          <w:rFonts w:hint="eastAsia" w:ascii="黑体" w:hAnsi="黑体" w:eastAsia="黑体"/>
          <w:spacing w:val="-1"/>
          <w:kern w:val="0"/>
          <w:sz w:val="32"/>
          <w:szCs w:val="32"/>
        </w:rPr>
        <w:t>、其他重要事项的情况说明</w:t>
      </w:r>
    </w:p>
    <w:p>
      <w:pPr>
        <w:kinsoku w:val="0"/>
        <w:overflowPunct w:val="0"/>
        <w:autoSpaceDE w:val="0"/>
        <w:autoSpaceDN w:val="0"/>
        <w:adjustRightInd w:val="0"/>
        <w:snapToGrid w:val="0"/>
        <w:spacing w:line="600" w:lineRule="exact"/>
        <w:outlineLvl w:val="0"/>
        <w:rPr>
          <w:rFonts w:ascii="楷体" w:hAnsi="楷体" w:eastAsia="楷体" w:cs="楷体"/>
          <w:bCs/>
          <w:sz w:val="32"/>
          <w:szCs w:val="32"/>
        </w:rPr>
      </w:pPr>
      <w:r>
        <w:rPr>
          <w:rFonts w:hint="eastAsia" w:ascii="楷体" w:hAnsi="楷体" w:eastAsia="楷体" w:cs="楷体"/>
          <w:bCs/>
          <w:kern w:val="0"/>
          <w:sz w:val="32"/>
          <w:szCs w:val="32"/>
        </w:rPr>
        <w:t xml:space="preserve">   （一）机关运行经费情况</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2018年机关运行经费预算 </w:t>
      </w:r>
      <w:r>
        <w:rPr>
          <w:rFonts w:hint="eastAsia" w:ascii="仿宋_GB2312" w:hAnsi="仿宋_GB2312" w:eastAsia="仿宋_GB2312" w:cs="仿宋_GB2312"/>
          <w:sz w:val="32"/>
          <w:szCs w:val="32"/>
          <w:lang w:val="en-US" w:eastAsia="zh-CN"/>
        </w:rPr>
        <w:t>27.45</w:t>
      </w:r>
      <w:r>
        <w:rPr>
          <w:rFonts w:hint="eastAsia" w:ascii="仿宋_GB2312" w:hAnsi="仿宋_GB2312" w:eastAsia="仿宋_GB2312" w:cs="仿宋_GB2312"/>
          <w:sz w:val="32"/>
          <w:szCs w:val="32"/>
        </w:rPr>
        <w:t>万元，主要保障机关机构正常运转及正常履职需要的办公费、水电费、物业费、维修费、差旅费等支出。</w:t>
      </w:r>
    </w:p>
    <w:p>
      <w:pPr>
        <w:kinsoku w:val="0"/>
        <w:overflowPunct w:val="0"/>
        <w:autoSpaceDE w:val="0"/>
        <w:autoSpaceDN w:val="0"/>
        <w:adjustRightInd w:val="0"/>
        <w:snapToGrid w:val="0"/>
        <w:spacing w:line="600" w:lineRule="exact"/>
        <w:outlineLvl w:val="0"/>
        <w:rPr>
          <w:rFonts w:ascii="楷体" w:hAnsi="楷体" w:eastAsia="楷体" w:cs="楷体"/>
          <w:bCs/>
          <w:kern w:val="0"/>
          <w:sz w:val="32"/>
          <w:szCs w:val="32"/>
        </w:rPr>
      </w:pPr>
      <w:r>
        <w:rPr>
          <w:rFonts w:hint="eastAsia" w:ascii="楷体" w:hAnsi="楷体" w:eastAsia="楷体" w:cs="楷体"/>
          <w:bCs/>
          <w:kern w:val="0"/>
          <w:sz w:val="32"/>
          <w:szCs w:val="32"/>
        </w:rPr>
        <w:t xml:space="preserve">   （二）政府采购支出情况</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2018年政府采购预算安排 </w:t>
      </w:r>
      <w:r>
        <w:rPr>
          <w:rFonts w:ascii="仿宋_GB2312" w:hAnsi="仿宋_GB2312" w:eastAsia="仿宋_GB2312" w:cs="仿宋_GB2312"/>
          <w:sz w:val="32"/>
          <w:szCs w:val="32"/>
        </w:rPr>
        <w:t>9.8</w:t>
      </w:r>
      <w:r>
        <w:rPr>
          <w:rFonts w:hint="eastAsia" w:ascii="仿宋_GB2312" w:hAnsi="仿宋_GB2312" w:eastAsia="仿宋_GB2312" w:cs="仿宋_GB2312"/>
          <w:sz w:val="32"/>
          <w:szCs w:val="32"/>
        </w:rPr>
        <w:t>万元，其中：购买桌椅、书柜等4</w:t>
      </w:r>
      <w:r>
        <w:rPr>
          <w:rFonts w:ascii="仿宋_GB2312" w:hAnsi="仿宋_GB2312" w:eastAsia="仿宋_GB2312" w:cs="仿宋_GB2312"/>
          <w:sz w:val="32"/>
          <w:szCs w:val="32"/>
        </w:rPr>
        <w:t>.98</w:t>
      </w:r>
      <w:r>
        <w:rPr>
          <w:rFonts w:hint="eastAsia" w:ascii="仿宋_GB2312" w:hAnsi="仿宋_GB2312" w:eastAsia="仿宋_GB2312" w:cs="仿宋_GB2312"/>
          <w:sz w:val="32"/>
          <w:szCs w:val="32"/>
        </w:rPr>
        <w:t>万元，空调设备1</w:t>
      </w:r>
      <w:r>
        <w:rPr>
          <w:rFonts w:ascii="仿宋_GB2312" w:hAnsi="仿宋_GB2312" w:eastAsia="仿宋_GB2312" w:cs="仿宋_GB2312"/>
          <w:sz w:val="32"/>
          <w:szCs w:val="32"/>
        </w:rPr>
        <w:t>.92</w:t>
      </w:r>
      <w:r>
        <w:rPr>
          <w:rFonts w:hint="eastAsia" w:ascii="仿宋_GB2312" w:hAnsi="仿宋_GB2312" w:eastAsia="仿宋_GB2312" w:cs="仿宋_GB2312"/>
          <w:sz w:val="32"/>
          <w:szCs w:val="32"/>
        </w:rPr>
        <w:t>万元，电脑打印2</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万元。</w:t>
      </w:r>
    </w:p>
    <w:p>
      <w:pPr>
        <w:kinsoku w:val="0"/>
        <w:overflowPunct w:val="0"/>
        <w:autoSpaceDE w:val="0"/>
        <w:autoSpaceDN w:val="0"/>
        <w:adjustRightInd w:val="0"/>
        <w:snapToGrid w:val="0"/>
        <w:spacing w:line="600" w:lineRule="exact"/>
        <w:outlineLvl w:val="0"/>
        <w:rPr>
          <w:rFonts w:ascii="楷体" w:hAnsi="楷体" w:eastAsia="楷体" w:cs="楷体"/>
          <w:bCs/>
          <w:kern w:val="0"/>
          <w:sz w:val="32"/>
          <w:szCs w:val="32"/>
        </w:rPr>
      </w:pPr>
      <w:r>
        <w:rPr>
          <w:rFonts w:hint="eastAsia" w:ascii="楷体" w:hAnsi="楷体" w:eastAsia="楷体" w:cs="楷体"/>
          <w:bCs/>
          <w:kern w:val="0"/>
          <w:sz w:val="32"/>
          <w:szCs w:val="32"/>
        </w:rPr>
        <w:t xml:space="preserve">   （三）关于预算绩效管理工作开展情况说明</w:t>
      </w:r>
    </w:p>
    <w:p>
      <w:pPr>
        <w:spacing w:line="600" w:lineRule="exact"/>
        <w:ind w:firstLine="560" w:firstLineChars="200"/>
        <w:rPr>
          <w:rFonts w:hint="eastAsia" w:ascii="仿宋_GB2312" w:hAnsi="仿宋_GB2312" w:eastAsia="仿宋_GB2312" w:cs="仿宋_GB2312"/>
          <w:sz w:val="32"/>
          <w:szCs w:val="32"/>
          <w:lang w:val="en-US" w:eastAsia="zh-CN"/>
        </w:rPr>
      </w:pPr>
      <w:r>
        <w:rPr>
          <w:rFonts w:hint="eastAsia"/>
          <w:sz w:val="28"/>
          <w:szCs w:val="28"/>
        </w:rPr>
        <w:t xml:space="preserve"> </w:t>
      </w:r>
      <w:r>
        <w:rPr>
          <w:rFonts w:hint="eastAsia" w:ascii="仿宋_GB2312" w:hAnsi="仿宋_GB2312" w:eastAsia="仿宋_GB2312" w:cs="仿宋_GB2312"/>
          <w:color w:val="000000"/>
          <w:sz w:val="32"/>
          <w:szCs w:val="32"/>
          <w:lang w:val="en-US" w:eastAsia="zh-CN"/>
        </w:rPr>
        <w:t>2017年，我单位未开展绩效评价。</w:t>
      </w:r>
      <w:r>
        <w:rPr>
          <w:rFonts w:hint="eastAsia" w:ascii="仿宋_GB2312" w:hAnsi="仿宋_GB2312" w:eastAsia="仿宋_GB2312" w:cs="仿宋_GB2312"/>
          <w:sz w:val="32"/>
          <w:szCs w:val="32"/>
        </w:rPr>
        <w:t xml:space="preserve">2018年，我单位部门预算纳入绩效管理的支出总额为 </w:t>
      </w:r>
      <w:r>
        <w:rPr>
          <w:rFonts w:ascii="仿宋_GB2312" w:hAnsi="仿宋_GB2312" w:eastAsia="仿宋_GB2312" w:cs="仿宋_GB2312"/>
          <w:sz w:val="32"/>
          <w:szCs w:val="32"/>
        </w:rPr>
        <w:t>228.34</w:t>
      </w:r>
      <w:r>
        <w:rPr>
          <w:rFonts w:hint="eastAsia" w:ascii="仿宋_GB2312" w:hAnsi="仿宋_GB2312" w:eastAsia="仿宋_GB2312" w:cs="仿宋_GB2312"/>
          <w:sz w:val="32"/>
          <w:szCs w:val="32"/>
        </w:rPr>
        <w:t>万元，其中人员经费支出</w:t>
      </w:r>
      <w:r>
        <w:rPr>
          <w:rFonts w:ascii="仿宋_GB2312" w:hAnsi="仿宋_GB2312" w:eastAsia="仿宋_GB2312" w:cs="仿宋_GB2312"/>
          <w:sz w:val="32"/>
          <w:szCs w:val="32"/>
        </w:rPr>
        <w:t>154.59</w:t>
      </w:r>
      <w:r>
        <w:rPr>
          <w:rFonts w:hint="eastAsia" w:ascii="仿宋_GB2312" w:hAnsi="仿宋_GB2312" w:eastAsia="仿宋_GB2312" w:cs="仿宋_GB2312"/>
          <w:sz w:val="32"/>
          <w:szCs w:val="32"/>
        </w:rPr>
        <w:t xml:space="preserve">万元，公用经费支出  </w:t>
      </w:r>
      <w:r>
        <w:rPr>
          <w:rFonts w:ascii="仿宋_GB2312" w:hAnsi="仿宋_GB2312" w:eastAsia="仿宋_GB2312" w:cs="仿宋_GB2312"/>
          <w:sz w:val="32"/>
          <w:szCs w:val="32"/>
        </w:rPr>
        <w:t>27.45</w:t>
      </w:r>
      <w:r>
        <w:rPr>
          <w:rFonts w:hint="eastAsia" w:ascii="仿宋_GB2312" w:hAnsi="仿宋_GB2312" w:eastAsia="仿宋_GB2312" w:cs="仿宋_GB2312"/>
          <w:sz w:val="32"/>
          <w:szCs w:val="32"/>
        </w:rPr>
        <w:t xml:space="preserve">  万元，支出项目共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个，支出总额 </w:t>
      </w:r>
      <w:r>
        <w:rPr>
          <w:rFonts w:ascii="仿宋_GB2312" w:hAnsi="仿宋_GB2312" w:eastAsia="仿宋_GB2312" w:cs="仿宋_GB2312"/>
          <w:sz w:val="32"/>
          <w:szCs w:val="32"/>
        </w:rPr>
        <w:t>46.3</w:t>
      </w:r>
      <w:r>
        <w:rPr>
          <w:rFonts w:hint="eastAsia" w:ascii="仿宋_GB2312" w:hAnsi="仿宋_GB2312" w:eastAsia="仿宋_GB2312" w:cs="仿宋_GB2312"/>
          <w:sz w:val="32"/>
          <w:szCs w:val="32"/>
        </w:rPr>
        <w:t xml:space="preserve"> 万元</w:t>
      </w:r>
      <w:r>
        <w:rPr>
          <w:rFonts w:hint="eastAsia" w:ascii="仿宋_GB2312" w:hAnsi="仿宋_GB2312" w:eastAsia="仿宋_GB2312" w:cs="仿宋_GB2312"/>
          <w:sz w:val="32"/>
          <w:szCs w:val="32"/>
          <w:lang w:val="en-US" w:eastAsia="zh-CN"/>
        </w:rPr>
        <w:t>.</w:t>
      </w:r>
    </w:p>
    <w:p>
      <w:pPr>
        <w:kinsoku w:val="0"/>
        <w:overflowPunct w:val="0"/>
        <w:autoSpaceDE w:val="0"/>
        <w:autoSpaceDN w:val="0"/>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（四）国有资产占用情况</w:t>
      </w:r>
    </w:p>
    <w:p>
      <w:pPr>
        <w:kinsoku w:val="0"/>
        <w:overflowPunct w:val="0"/>
        <w:autoSpaceDE w:val="0"/>
        <w:autoSpaceDN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2017年期末，温县人大常委会固定资产总额213.4923万元，其中，房屋建筑物54.072万元，车辆118.71万元。共有车辆7辆，其中：一般公务用车7辆，执法执勤车0辆；单价50万元以上通用设备0台（套），单位价值100万元以上专用设备0台（套）。</w:t>
      </w:r>
    </w:p>
    <w:p>
      <w:pPr>
        <w:spacing w:line="600" w:lineRule="exact"/>
        <w:rPr>
          <w:rFonts w:ascii="仿宋_GB2312" w:hAnsi="仿宋_GB2312" w:eastAsia="仿宋_GB2312" w:cs="仿宋_GB2312"/>
          <w:b/>
          <w:kern w:val="0"/>
          <w:sz w:val="32"/>
          <w:szCs w:val="32"/>
        </w:rPr>
      </w:pPr>
    </w:p>
    <w:p>
      <w:pPr>
        <w:adjustRightInd w:val="0"/>
        <w:snapToGrid w:val="0"/>
        <w:spacing w:line="6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第三部分 名词解释</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一、财政拨款收入：是指县财政当年拨付的资金。</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二、事业收入：是指事业单位开展专业活动及辅助活动所取 得的收入。</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三、其他收入：是指部门取得的除“财政拨款”、“事业收入”、“事业单位经营收入”等以外的收入。 </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五、项目支出：是指在基本支出之外，为完成特定的行政工作任务或事业发展目标所发生的支出。</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三公”经费：是指纳入县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宋体" w:eastAsia="仿宋_GB2312" w:cs="Courier New"/>
          <w:sz w:val="32"/>
          <w:szCs w:val="32"/>
        </w:rPr>
        <w:t>七、机关运行经费：是指为保障行政</w:t>
      </w:r>
      <w:r>
        <w:rPr>
          <w:rFonts w:hint="eastAsia" w:ascii="仿宋_GB2312" w:hAnsi="仿宋_GB2312" w:eastAsia="仿宋_GB2312" w:cs="仿宋_GB2312"/>
          <w:sz w:val="32"/>
          <w:szCs w:val="32"/>
        </w:rPr>
        <w:t>机构正常运转及正常履职需要的办公费、水电费、日常维修、物业费、维修费、差旅费、</w:t>
      </w:r>
      <w:r>
        <w:rPr>
          <w:rFonts w:hint="eastAsia" w:ascii="仿宋_GB2312" w:hAnsi="宋体" w:eastAsia="仿宋_GB2312" w:cs="Courier New"/>
          <w:sz w:val="32"/>
          <w:szCs w:val="32"/>
        </w:rPr>
        <w:t>公务用车运行维护费以及其他费用</w:t>
      </w:r>
      <w:r>
        <w:rPr>
          <w:rFonts w:hint="eastAsia" w:ascii="仿宋_GB2312" w:hAnsi="仿宋_GB2312" w:eastAsia="仿宋_GB2312" w:cs="仿宋_GB2312"/>
          <w:sz w:val="32"/>
          <w:szCs w:val="32"/>
        </w:rPr>
        <w:t>等支出。</w:t>
      </w:r>
    </w:p>
    <w:p>
      <w:pPr>
        <w:kinsoku w:val="0"/>
        <w:overflowPunct w:val="0"/>
        <w:autoSpaceDE w:val="0"/>
        <w:autoSpaceDN w:val="0"/>
        <w:adjustRightInd w:val="0"/>
        <w:snapToGrid w:val="0"/>
        <w:spacing w:line="600" w:lineRule="exact"/>
        <w:ind w:firstLine="640" w:firstLineChars="200"/>
        <w:rPr>
          <w:rFonts w:hint="default" w:ascii="仿宋_GB2312" w:hAnsi="宋体" w:eastAsia="仿宋_GB2312" w:cs="Courier New"/>
          <w:sz w:val="32"/>
          <w:szCs w:val="32"/>
        </w:rPr>
      </w:pPr>
      <w:r>
        <w:rPr>
          <w:rFonts w:hint="eastAsia" w:ascii="仿宋_GB2312" w:hAnsi="仿宋_GB2312" w:eastAsia="仿宋_GB2312" w:cs="仿宋_GB2312"/>
          <w:sz w:val="32"/>
          <w:szCs w:val="32"/>
          <w:lang w:eastAsia="zh-CN"/>
        </w:rPr>
        <w:t>八、</w:t>
      </w:r>
      <w:r>
        <w:rPr>
          <w:rFonts w:hint="default" w:ascii="仿宋_GB2312" w:hAnsi="宋体" w:eastAsia="仿宋_GB2312" w:cs="Courier New"/>
          <w:sz w:val="32"/>
          <w:szCs w:val="32"/>
          <w:lang w:eastAsia="zh-CN"/>
        </w:rPr>
        <w:t>地方人大换届选举</w:t>
      </w:r>
      <w:r>
        <w:rPr>
          <w:rFonts w:hint="eastAsia" w:ascii="仿宋_GB2312" w:hAnsi="宋体" w:eastAsia="仿宋_GB2312" w:cs="Courier New"/>
          <w:sz w:val="32"/>
          <w:szCs w:val="32"/>
          <w:lang w:eastAsia="zh-CN"/>
        </w:rPr>
        <w:t>：</w:t>
      </w:r>
      <w:r>
        <w:rPr>
          <w:rFonts w:hint="default" w:ascii="仿宋_GB2312" w:hAnsi="宋体" w:eastAsia="仿宋_GB2312" w:cs="Courier New"/>
          <w:sz w:val="32"/>
          <w:szCs w:val="32"/>
        </w:rPr>
        <w:t>是根据我国宪法关于地方各级人民代表大会每届任期5年的规定，自2011年起，全国县、乡两级人民代表大会将进行换届，依法直接选举产生新一届县、乡两级人大代表，省级和设区的市级人民代表大会也将由下一级人民代表大会选举产生新一届代表。</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p>
    <w:p>
      <w:pPr>
        <w:adjustRightInd w:val="0"/>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附件：温县人大常委会2018年度部门预算表</w:t>
      </w:r>
    </w:p>
    <w:p>
      <w:pPr>
        <w:spacing w:line="600" w:lineRule="exact"/>
        <w:rPr>
          <w:rFonts w:ascii="仿宋_GB2312" w:hAnsi="仿宋_GB2312" w:eastAsia="仿宋_GB2312" w:cs="仿宋_GB2312"/>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auto"/>
    <w:pitch w:val="default"/>
    <w:sig w:usb0="00000001"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等线 Light">
    <w:altName w:val="宋体"/>
    <w:panose1 w:val="02010600030101010101"/>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00" w:usb3="00000000" w:csb0="00040000" w:csb1="00000000"/>
  </w:font>
  <w:font w:name="Times New Roman CE">
    <w:altName w:val="Times New Roman"/>
    <w:panose1 w:val="00000000000000000000"/>
    <w:charset w:val="EE"/>
    <w:family w:val="auto"/>
    <w:pitch w:val="default"/>
    <w:sig w:usb0="00000000" w:usb1="00000000" w:usb2="00000000" w:usb3="00000000" w:csb0="00000002" w:csb1="00000000"/>
  </w:font>
  <w:font w:name="Times New Roman Cyr">
    <w:altName w:val="Times New Roman"/>
    <w:panose1 w:val="00000000000000000000"/>
    <w:charset w:val="CC"/>
    <w:family w:val="auto"/>
    <w:pitch w:val="default"/>
    <w:sig w:usb0="00000000" w:usb1="00000000" w:usb2="00000000" w:usb3="00000000" w:csb0="00000004" w:csb1="00000000"/>
  </w:font>
  <w:font w:name="Times New Roman Greek">
    <w:altName w:val="Times New Roman"/>
    <w:panose1 w:val="00000000000000000000"/>
    <w:charset w:val="A1"/>
    <w:family w:val="auto"/>
    <w:pitch w:val="default"/>
    <w:sig w:usb0="00000000" w:usb1="00000000" w:usb2="00000000" w:usb3="00000000" w:csb0="00000008" w:csb1="00000000"/>
  </w:font>
  <w:font w:name="Times New Roman Tur">
    <w:altName w:val="Times New Roman"/>
    <w:panose1 w:val="00000000000000000000"/>
    <w:charset w:val="A2"/>
    <w:family w:val="auto"/>
    <w:pitch w:val="default"/>
    <w:sig w:usb0="00000000" w:usb1="00000000" w:usb2="00000000" w:usb3="00000000" w:csb0="00000010"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 New Roman (Arabic)">
    <w:altName w:val="Times New Roman"/>
    <w:panose1 w:val="00000000000000000000"/>
    <w:charset w:val="B2"/>
    <w:family w:val="auto"/>
    <w:pitch w:val="default"/>
    <w:sig w:usb0="00000000" w:usb1="00000000" w:usb2="00000000" w:usb3="00000000" w:csb0="00000040" w:csb1="00000000"/>
  </w:font>
  <w:font w:name="Times New Roman Baltic">
    <w:altName w:val="Times New Roman"/>
    <w:panose1 w:val="00000000000000000000"/>
    <w:charset w:val="BA"/>
    <w:family w:val="auto"/>
    <w:pitch w:val="default"/>
    <w:sig w:usb0="00000000" w:usb1="00000000" w:usb2="00000000" w:usb3="00000000" w:csb0="00000080"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SimSun Western">
    <w:altName w:val="宋体"/>
    <w:panose1 w:val="00000000000000000000"/>
    <w:charset w:val="00"/>
    <w:family w:val="auto"/>
    <w:pitch w:val="default"/>
    <w:sig w:usb0="00000000" w:usb1="00000000" w:usb2="00000000" w:usb3="00000000" w:csb0="00000001" w:csb1="00000000"/>
  </w:font>
  <w:font w:name="SimHei Western">
    <w:altName w:val="黑体"/>
    <w:panose1 w:val="00000000000000000000"/>
    <w:charset w:val="00"/>
    <w:family w:val="auto"/>
    <w:pitch w:val="default"/>
    <w:sig w:usb0="00000000" w:usb1="00000000" w:usb2="00000000" w:usb3="00000000" w:csb0="00000001" w:csb1="00000000"/>
  </w:font>
  <w:font w:name="Cambria Math CE">
    <w:altName w:val="Cambria"/>
    <w:panose1 w:val="00000000000000000000"/>
    <w:charset w:val="EE"/>
    <w:family w:val="auto"/>
    <w:pitch w:val="default"/>
    <w:sig w:usb0="00000000" w:usb1="00000000" w:usb2="00000000" w:usb3="00000000" w:csb0="00000002" w:csb1="00000000"/>
  </w:font>
  <w:font w:name="Cambria Math Cyr">
    <w:altName w:val="Cambria"/>
    <w:panose1 w:val="00000000000000000000"/>
    <w:charset w:val="CC"/>
    <w:family w:val="auto"/>
    <w:pitch w:val="default"/>
    <w:sig w:usb0="00000000" w:usb1="00000000" w:usb2="00000000" w:usb3="00000000" w:csb0="00000004" w:csb1="00000000"/>
  </w:font>
  <w:font w:name="Cambria Math Greek">
    <w:altName w:val="Cambria"/>
    <w:panose1 w:val="00000000000000000000"/>
    <w:charset w:val="A1"/>
    <w:family w:val="auto"/>
    <w:pitch w:val="default"/>
    <w:sig w:usb0="00000000" w:usb1="00000000" w:usb2="00000000" w:usb3="00000000" w:csb0="00000008" w:csb1="00000000"/>
  </w:font>
  <w:font w:name="Cambria Math Tur">
    <w:altName w:val="Cambria"/>
    <w:panose1 w:val="00000000000000000000"/>
    <w:charset w:val="A2"/>
    <w:family w:val="auto"/>
    <w:pitch w:val="default"/>
    <w:sig w:usb0="00000000" w:usb1="00000000" w:usb2="00000000" w:usb3="00000000" w:csb0="00000010" w:csb1="00000000"/>
  </w:font>
  <w:font w:name="Cambria Math Baltic">
    <w:altName w:val="Cambria"/>
    <w:panose1 w:val="00000000000000000000"/>
    <w:charset w:val="BA"/>
    <w:family w:val="auto"/>
    <w:pitch w:val="default"/>
    <w:sig w:usb0="00000000" w:usb1="00000000" w:usb2="00000000" w:usb3="00000000" w:csb0="00000080" w:csb1="00000000"/>
  </w:font>
  <w:font w:name="Cambria Math (Vietnamese)">
    <w:altName w:val="Cambria"/>
    <w:panose1 w:val="00000000000000000000"/>
    <w:charset w:val="A3"/>
    <w:family w:val="auto"/>
    <w:pitch w:val="default"/>
    <w:sig w:usb0="00000000" w:usb1="00000000" w:usb2="00000000" w:usb3="00000000" w:csb0="00000100" w:csb1="00000000"/>
  </w:font>
  <w:font w:name="Calibri CE">
    <w:altName w:val="Calibri"/>
    <w:panose1 w:val="00000000000000000000"/>
    <w:charset w:val="EE"/>
    <w:family w:val="auto"/>
    <w:pitch w:val="default"/>
    <w:sig w:usb0="00000000" w:usb1="00000000" w:usb2="00000000" w:usb3="00000000" w:csb0="00000002" w:csb1="00000000"/>
  </w:font>
  <w:font w:name="Calibri Cyr">
    <w:altName w:val="Calibri"/>
    <w:panose1 w:val="00000000000000000000"/>
    <w:charset w:val="CC"/>
    <w:family w:val="auto"/>
    <w:pitch w:val="default"/>
    <w:sig w:usb0="00000000" w:usb1="00000000" w:usb2="00000000" w:usb3="00000000" w:csb0="00000004" w:csb1="00000000"/>
  </w:font>
  <w:font w:name="Calibri Greek">
    <w:altName w:val="Calibri"/>
    <w:panose1 w:val="00000000000000000000"/>
    <w:charset w:val="A1"/>
    <w:family w:val="auto"/>
    <w:pitch w:val="default"/>
    <w:sig w:usb0="00000000" w:usb1="00000000" w:usb2="00000000" w:usb3="00000000" w:csb0="00000008" w:csb1="00000000"/>
  </w:font>
  <w:font w:name="Calibri Tur">
    <w:altName w:val="Calibri"/>
    <w:panose1 w:val="00000000000000000000"/>
    <w:charset w:val="A2"/>
    <w:family w:val="auto"/>
    <w:pitch w:val="default"/>
    <w:sig w:usb0="00000000" w:usb1="00000000" w:usb2="00000000" w:usb3="00000000" w:csb0="00000010" w:csb1="00000000"/>
  </w:font>
  <w:font w:name="Calibri Baltic">
    <w:altName w:val="Calibri"/>
    <w:panose1 w:val="00000000000000000000"/>
    <w:charset w:val="BA"/>
    <w:family w:val="auto"/>
    <w:pitch w:val="default"/>
    <w:sig w:usb0="00000000" w:usb1="00000000" w:usb2="00000000" w:usb3="00000000" w:csb0="00000080" w:csb1="00000000"/>
  </w:font>
  <w:font w:name="Calibri (Vietnamese)">
    <w:altName w:val="Calibri"/>
    <w:panose1 w:val="00000000000000000000"/>
    <w:charset w:val="A3"/>
    <w:family w:val="auto"/>
    <w:pitch w:val="default"/>
    <w:sig w:usb0="00000000" w:usb1="00000000" w:usb2="00000000" w:usb3="00000000" w:csb0="00000100" w:csb1="00000000"/>
  </w:font>
  <w:font w:name="·ÂËÎ Western">
    <w:altName w:val="仿宋"/>
    <w:panose1 w:val="00000000000000000000"/>
    <w:charset w:val="00"/>
    <w:family w:val="auto"/>
    <w:pitch w:val="default"/>
    <w:sig w:usb0="00000000" w:usb1="00000000" w:usb2="00000000" w:usb3="00000000" w:csb0="00000001" w:csb1="00000000"/>
  </w:font>
  <w:font w:name="DengXian Light Western">
    <w:altName w:val="Segoe Print"/>
    <w:panose1 w:val="00000000000000000000"/>
    <w:charset w:val="00"/>
    <w:family w:val="auto"/>
    <w:pitch w:val="default"/>
    <w:sig w:usb0="00000000" w:usb1="00000000" w:usb2="00000000" w:usb3="00000000" w:csb0="00000001" w:csb1="00000000"/>
  </w:font>
  <w:font w:name="DengXian Light CE">
    <w:altName w:val="Segoe Print"/>
    <w:panose1 w:val="00000000000000000000"/>
    <w:charset w:val="EE"/>
    <w:family w:val="auto"/>
    <w:pitch w:val="default"/>
    <w:sig w:usb0="00000000" w:usb1="00000000" w:usb2="00000000" w:usb3="00000000" w:csb0="00000002" w:csb1="00000000"/>
  </w:font>
  <w:font w:name="DengXian Light Cyr">
    <w:altName w:val="MingLiU"/>
    <w:panose1 w:val="00000000000000000000"/>
    <w:charset w:val="CC"/>
    <w:family w:val="auto"/>
    <w:pitch w:val="default"/>
    <w:sig w:usb0="00000000" w:usb1="00000000" w:usb2="00000000" w:usb3="00000000" w:csb0="00000004" w:csb1="00000000"/>
  </w:font>
  <w:font w:name="DengXian Light Greek">
    <w:altName w:val="MingLiU"/>
    <w:panose1 w:val="00000000000000000000"/>
    <w:charset w:val="A1"/>
    <w:family w:val="auto"/>
    <w:pitch w:val="default"/>
    <w:sig w:usb0="00000000" w:usb1="00000000" w:usb2="00000000" w:usb3="00000000" w:csb0="00000008" w:csb1="00000000"/>
  </w:font>
  <w:font w:name="DengXian Western">
    <w:altName w:val="Segoe Print"/>
    <w:panose1 w:val="00000000000000000000"/>
    <w:charset w:val="00"/>
    <w:family w:val="auto"/>
    <w:pitch w:val="default"/>
    <w:sig w:usb0="00000000" w:usb1="00000000" w:usb2="00000000" w:usb3="00000000" w:csb0="00000001" w:csb1="00000000"/>
  </w:font>
  <w:font w:name="DengXian CE">
    <w:altName w:val="Segoe Print"/>
    <w:panose1 w:val="00000000000000000000"/>
    <w:charset w:val="EE"/>
    <w:family w:val="auto"/>
    <w:pitch w:val="default"/>
    <w:sig w:usb0="00000000" w:usb1="00000000" w:usb2="00000000" w:usb3="00000000" w:csb0="00000002" w:csb1="00000000"/>
  </w:font>
  <w:font w:name="DengXian Cyr">
    <w:altName w:val="MingLiU"/>
    <w:panose1 w:val="00000000000000000000"/>
    <w:charset w:val="CC"/>
    <w:family w:val="auto"/>
    <w:pitch w:val="default"/>
    <w:sig w:usb0="00000000" w:usb1="00000000" w:usb2="00000000" w:usb3="00000000" w:csb0="00000004" w:csb1="00000000"/>
  </w:font>
  <w:font w:name="DengXian Greek">
    <w:altName w:val="MingLiU"/>
    <w:panose1 w:val="00000000000000000000"/>
    <w:charset w:val="A1"/>
    <w:family w:val="auto"/>
    <w:pitch w:val="default"/>
    <w:sig w:usb0="00000000" w:usb1="00000000" w:usb2="00000000" w:usb3="00000000" w:csb0="00000008" w:csb1="00000000"/>
  </w:font>
  <w:font w:name="Cambria">
    <w:panose1 w:val="02040503050406030204"/>
    <w:charset w:val="00"/>
    <w:family w:val="auto"/>
    <w:pitch w:val="default"/>
    <w:sig w:usb0="E00002FF" w:usb1="400004FF" w:usb2="00000000" w:usb3="00000000" w:csb0="2000019F" w:csb1="00000000"/>
  </w:font>
  <w:font w:name="HakusyuGyosyoPro_kk">
    <w:altName w:val="MS UI Gothic"/>
    <w:panose1 w:val="02000609000000000000"/>
    <w:charset w:val="80"/>
    <w:family w:val="auto"/>
    <w:pitch w:val="default"/>
    <w:sig w:usb0="A00002BF" w:usb1="68C7FCFB" w:usb2="00000010" w:usb3="00000000" w:csb0="4002009F" w:csb1="DFD70000"/>
  </w:font>
  <w:font w:name="CourierPS">
    <w:altName w:val="Segoe Print"/>
    <w:panose1 w:val="02070609020205020404"/>
    <w:charset w:val="00"/>
    <w:family w:val="auto"/>
    <w:pitch w:val="default"/>
    <w:sig w:usb0="00000000" w:usb1="00000000" w:usb2="00000000" w:usb3="00000000" w:csb0="00000093" w:csb1="00000000"/>
  </w:font>
  <w:font w:name="MingLiU">
    <w:panose1 w:val="02020509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5138474">
    <w:nsid w:val="5A4F2DAA"/>
    <w:multiLevelType w:val="singleLevel"/>
    <w:tmpl w:val="5A4F2DAA"/>
    <w:lvl w:ilvl="0" w:tentative="1">
      <w:start w:val="1"/>
      <w:numFmt w:val="chineseCounting"/>
      <w:suff w:val="nothing"/>
      <w:lvlText w:val="（%1）"/>
      <w:lvlJc w:val="left"/>
    </w:lvl>
  </w:abstractNum>
  <w:abstractNum w:abstractNumId="1520564614">
    <w:nsid w:val="5AA1F986"/>
    <w:multiLevelType w:val="singleLevel"/>
    <w:tmpl w:val="5AA1F986"/>
    <w:lvl w:ilvl="0" w:tentative="1">
      <w:start w:val="1"/>
      <w:numFmt w:val="chineseCounting"/>
      <w:suff w:val="nothing"/>
      <w:lvlText w:val="(%1）"/>
      <w:lvlJc w:val="left"/>
    </w:lvl>
  </w:abstractNum>
  <w:abstractNum w:abstractNumId="1517907436">
    <w:nsid w:val="5A796DEC"/>
    <w:multiLevelType w:val="singleLevel"/>
    <w:tmpl w:val="5A796DEC"/>
    <w:lvl w:ilvl="0" w:tentative="1">
      <w:start w:val="1"/>
      <w:numFmt w:val="chineseCounting"/>
      <w:suff w:val="nothing"/>
      <w:lvlText w:val="%1、"/>
      <w:lvlJc w:val="left"/>
    </w:lvl>
  </w:abstractNum>
  <w:num w:numId="1">
    <w:abstractNumId w:val="1517907436"/>
  </w:num>
  <w:num w:numId="2">
    <w:abstractNumId w:val="1520564614"/>
  </w:num>
  <w:num w:numId="3">
    <w:abstractNumId w:val="15151384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uiPriority w:val="1"/>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p0"/>
    <w:basedOn w:val="1"/>
    <w:qFormat/>
    <w:uiPriority w:val="0"/>
    <w:pPr>
      <w:spacing w:line="782" w:lineRule="atLeast"/>
      <w:ind w:firstLine="419"/>
      <w:jc w:val="both"/>
      <w:textAlignment w:val="baseline"/>
    </w:pPr>
    <w:rPr>
      <w:rFonts w:ascii="Calibri" w:eastAsia="宋体"/>
      <w:color w:val="000000"/>
      <w:sz w:val="21"/>
      <w:u w:val="none" w:color="000000"/>
      <w:lang w:val="en-US" w:eastAsia="zh-CN"/>
    </w:rPr>
  </w:style>
  <w:style w:type="character" w:customStyle="1" w:styleId="6">
    <w:name w:val="页眉 字符"/>
    <w:link w:val="3"/>
    <w:uiPriority w:val="0"/>
    <w:rPr>
      <w:rFonts w:ascii="Calibri" w:hAnsi="Calibri" w:cs="黑体"/>
      <w:kern w:val="2"/>
      <w:sz w:val="18"/>
      <w:szCs w:val="18"/>
    </w:rPr>
  </w:style>
  <w:style w:type="character" w:customStyle="1" w:styleId="7">
    <w:name w:val="页脚 字符"/>
    <w:link w:val="2"/>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272</Words>
  <Characters>1552</Characters>
  <Lines>12</Lines>
  <Paragraphs>3</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崔龙</cp:lastModifiedBy>
  <cp:lastPrinted>2018-03-09T07:54:00Z</cp:lastPrinted>
  <dcterms:modified xsi:type="dcterms:W3CDTF">2019-03-17T07:44:32Z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