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2018</w:t>
      </w:r>
      <w:r>
        <w:rPr>
          <w:rFonts w:hint="eastAsia" w:ascii="方正小标宋简体" w:hAnsi="方正小标宋简体" w:eastAsia="方正小标宋简体" w:cs="方正小标宋简体"/>
          <w:color w:val="000000"/>
          <w:sz w:val="44"/>
          <w:szCs w:val="44"/>
        </w:rPr>
        <w:t>年度</w:t>
      </w:r>
      <w:r>
        <w:rPr>
          <w:rFonts w:hint="eastAsia" w:ascii="方正小标宋简体" w:hAnsi="方正小标宋简体" w:eastAsia="方正小标宋简体" w:cs="方正小标宋简体"/>
          <w:color w:val="000000"/>
          <w:sz w:val="44"/>
          <w:szCs w:val="44"/>
          <w:lang w:eastAsia="zh-CN"/>
        </w:rPr>
        <w:t>温县审计局</w:t>
      </w:r>
      <w:r>
        <w:rPr>
          <w:rFonts w:hint="eastAsia" w:ascii="方正小标宋简体" w:hAnsi="方正小标宋简体" w:eastAsia="方正小标宋简体" w:cs="方正小标宋简体"/>
          <w:color w:val="000000"/>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color w:val="000000"/>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color w:val="000000"/>
          <w:sz w:val="44"/>
          <w:szCs w:val="44"/>
        </w:rPr>
      </w:pPr>
      <w:r>
        <w:rPr>
          <w:rFonts w:hint="eastAsia" w:ascii="仿宋_GB2312" w:hAnsi="仿宋_GB2312" w:eastAsia="仿宋_GB2312" w:cs="仿宋_GB2312"/>
          <w:color w:val="000000"/>
          <w:sz w:val="44"/>
          <w:szCs w:val="44"/>
        </w:rPr>
        <w:t>目</w:t>
      </w:r>
      <w:r>
        <w:rPr>
          <w:rFonts w:hint="eastAsia" w:ascii="仿宋_GB2312" w:hAnsi="仿宋_GB2312" w:eastAsia="仿宋_GB2312" w:cs="仿宋_GB2312"/>
          <w:color w:val="000000"/>
          <w:spacing w:val="2"/>
          <w:sz w:val="44"/>
          <w:szCs w:val="44"/>
        </w:rPr>
        <w:t xml:space="preserve"> </w:t>
      </w:r>
      <w:r>
        <w:rPr>
          <w:rFonts w:hint="eastAsia" w:ascii="仿宋_GB2312" w:hAnsi="仿宋_GB2312" w:eastAsia="仿宋_GB2312" w:cs="仿宋_GB2312"/>
          <w:color w:val="000000"/>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color w:val="000000"/>
          <w:w w:val="99"/>
          <w:sz w:val="32"/>
          <w:szCs w:val="32"/>
        </w:rPr>
      </w:pPr>
      <w:r>
        <w:rPr>
          <w:rFonts w:hint="eastAsia" w:ascii="仿宋_GB2312" w:hAnsi="仿宋_GB2312" w:eastAsia="仿宋_GB2312" w:cs="仿宋_GB2312"/>
          <w:color w:val="000000"/>
          <w:sz w:val="32"/>
          <w:szCs w:val="32"/>
        </w:rPr>
        <w:t xml:space="preserve">第一部分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概况</w:t>
      </w:r>
      <w:r>
        <w:rPr>
          <w:rFonts w:hint="eastAsia" w:ascii="仿宋_GB2312" w:hAnsi="仿宋_GB2312" w:eastAsia="仿宋_GB2312" w:cs="仿宋_GB2312"/>
          <w:color w:val="000000"/>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w w:val="99"/>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第二部分</w:t>
      </w:r>
      <w:r>
        <w:rPr>
          <w:rFonts w:hint="eastAsia" w:ascii="仿宋_GB2312" w:hAnsi="仿宋_GB2312" w:eastAsia="仿宋_GB2312" w:cs="仿宋_GB2312"/>
          <w:color w:val="000000"/>
          <w:spacing w:val="-38"/>
          <w:sz w:val="32"/>
          <w:szCs w:val="32"/>
          <w:lang w:val="en-US" w:eastAsia="zh-CN"/>
        </w:rPr>
        <w:t xml:space="preserve"> </w:t>
      </w:r>
      <w:r>
        <w:rPr>
          <w:rFonts w:hint="eastAsia" w:ascii="仿宋_GB2312" w:hAnsi="仿宋_GB2312" w:eastAsia="仿宋_GB2312" w:cs="仿宋_GB2312"/>
          <w:color w:val="000000"/>
          <w:spacing w:val="-119"/>
          <w:sz w:val="32"/>
          <w:szCs w:val="32"/>
        </w:rPr>
        <w:t xml:space="preserve"> </w:t>
      </w:r>
      <w:r>
        <w:rPr>
          <w:rFonts w:hint="eastAsia" w:ascii="仿宋_GB2312" w:hAnsi="仿宋_GB2312" w:eastAsia="仿宋_GB2312" w:cs="仿宋_GB2312"/>
          <w:color w:val="000000"/>
          <w:spacing w:val="-119"/>
          <w:sz w:val="32"/>
          <w:szCs w:val="32"/>
          <w:lang w:val="en-US" w:eastAsia="zh-CN"/>
        </w:rPr>
        <w:t xml:space="preserve">     </w:t>
      </w: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rPr>
        <w:t>年度部门预算情况说明</w:t>
      </w:r>
      <w:r>
        <w:rPr>
          <w:rFonts w:hint="eastAsia" w:ascii="仿宋_GB2312" w:hAnsi="仿宋_GB2312" w:eastAsia="仿宋_GB2312" w:cs="仿宋_GB2312"/>
          <w:color w:val="000000"/>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第三部分</w:t>
      </w:r>
      <w:r>
        <w:rPr>
          <w:rFonts w:hint="eastAsia" w:ascii="仿宋_GB2312" w:hAnsi="仿宋_GB2312" w:eastAsia="仿宋_GB2312" w:cs="仿宋_GB2312"/>
          <w:color w:val="000000"/>
          <w:spacing w:val="-32"/>
          <w:sz w:val="32"/>
          <w:szCs w:val="32"/>
        </w:rPr>
        <w:t xml:space="preserve"> </w:t>
      </w:r>
      <w:r>
        <w:rPr>
          <w:rFonts w:hint="eastAsia" w:ascii="仿宋_GB2312" w:hAnsi="仿宋_GB2312" w:eastAsia="仿宋_GB2312" w:cs="仿宋_GB2312"/>
          <w:color w:val="000000"/>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pacing w:val="-32"/>
          <w:sz w:val="32"/>
          <w:szCs w:val="32"/>
        </w:rPr>
        <w:t xml:space="preserve"> </w:t>
      </w:r>
      <w:r>
        <w:rPr>
          <w:rFonts w:hint="eastAsia" w:ascii="仿宋_GB2312" w:hAnsi="仿宋_GB2312" w:eastAsia="仿宋_GB2312" w:cs="仿宋_GB2312"/>
          <w:color w:val="000000"/>
          <w:sz w:val="32"/>
          <w:szCs w:val="32"/>
          <w:lang w:val="en-US" w:eastAsia="zh-CN"/>
        </w:rPr>
        <w:t xml:space="preserve"> 2018</w:t>
      </w:r>
      <w:r>
        <w:rPr>
          <w:rFonts w:hint="eastAsia" w:ascii="仿宋_GB2312" w:hAnsi="仿宋_GB2312" w:eastAsia="仿宋_GB2312" w:cs="仿宋_GB2312"/>
          <w:color w:val="000000"/>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十一、项目绩效目标申报表</w:t>
      </w:r>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color w:val="000000"/>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方正小标宋简体" w:hAnsi="方正小标宋简体" w:eastAsia="方正小标宋简体" w:cs="方正小标宋简体"/>
          <w:color w:val="000000"/>
          <w:sz w:val="32"/>
          <w:szCs w:val="32"/>
          <w:lang w:val="en-US" w:eastAsia="zh-CN"/>
        </w:rPr>
        <w:t xml:space="preserve"> </w:t>
      </w:r>
      <w:r>
        <w:rPr>
          <w:rFonts w:hint="eastAsia" w:ascii="方正小标宋简体" w:hAnsi="方正小标宋简体" w:eastAsia="方正小标宋简体" w:cs="方正小标宋简体"/>
          <w:color w:val="000000"/>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val="en-US" w:eastAsia="zh-CN"/>
        </w:rPr>
        <w:t>温县审计局</w:t>
      </w:r>
      <w:r>
        <w:rPr>
          <w:rFonts w:hint="eastAsia" w:ascii="方正小标宋简体" w:hAnsi="方正小标宋简体" w:eastAsia="方正小标宋简体" w:cs="方正小标宋简体"/>
          <w:color w:val="000000"/>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color w:val="000000"/>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主要职能</w:t>
      </w:r>
    </w:p>
    <w:p>
      <w:pPr>
        <w:numPr>
          <w:ilvl w:val="0"/>
          <w:numId w:val="2"/>
        </w:numPr>
        <w:kinsoku w:val="0"/>
        <w:wordWrap/>
        <w:overflowPunct w:val="0"/>
        <w:adjustRightInd w:val="0"/>
        <w:snapToGrid w:val="0"/>
        <w:spacing w:before="0" w:after="0" w:line="600" w:lineRule="exact"/>
        <w:ind w:left="0" w:leftChars="0" w:right="3569"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机构设置情况</w:t>
      </w:r>
    </w:p>
    <w:p>
      <w:pPr>
        <w:spacing w:line="480" w:lineRule="auto"/>
        <w:rPr>
          <w:rFonts w:hint="eastAsia" w:ascii="仿宋_GB2312" w:hAnsi="仿宋_GB2312" w:eastAsia="仿宋_GB2312" w:cs="仿宋_GB2312"/>
          <w:color w:val="000000"/>
          <w:sz w:val="32"/>
          <w:szCs w:val="32"/>
          <w:lang w:val="en-US" w:eastAsia="zh-CN"/>
        </w:rPr>
      </w:pPr>
      <w:r>
        <w:rPr>
          <w:rFonts w:hint="eastAsia" w:ascii="仿宋" w:hAnsi="仿宋" w:eastAsia="仿宋" w:cs="宋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1、办公室 。2、监督审理科。3、财金经贸审计科。4、农业与资源环保审计科。5、固定资产投资审计科。6、行政事业审计科。7、社会保障审计科。8、经济责任审计中心。9、政府工程审计中心。</w:t>
      </w:r>
    </w:p>
    <w:p>
      <w:pPr>
        <w:kinsoku w:val="0"/>
        <w:wordWrap/>
        <w:overflowPunct w:val="0"/>
        <w:adjustRightInd w:val="0"/>
        <w:snapToGrid w:val="0"/>
        <w:spacing w:before="0" w:after="0" w:line="600" w:lineRule="exact"/>
        <w:ind w:right="3569"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（二）部门职责</w:t>
      </w:r>
    </w:p>
    <w:p>
      <w:pPr>
        <w:spacing w:line="480" w:lineRule="auto"/>
        <w:rPr>
          <w:rFonts w:hint="eastAsia" w:ascii="仿宋_GB2312" w:hAnsi="仿宋_GB2312" w:eastAsia="仿宋_GB2312" w:cs="仿宋_GB2312"/>
          <w:color w:val="000000"/>
          <w:sz w:val="32"/>
          <w:szCs w:val="32"/>
          <w:lang w:val="en-US" w:eastAsia="zh-CN"/>
        </w:rPr>
      </w:pPr>
      <w:r>
        <w:rPr>
          <w:rFonts w:hint="eastAsia" w:ascii="仿宋" w:hAnsi="仿宋" w:eastAsia="仿宋" w:cs="宋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温县审计局对本级各部门和下级人民政府及其各部门的财政收支，国有的金融机构和企业事业组织的财务收支，以及其他依照本法规定应当接受审计的财政收支、财务收支，依法对前款所列财政收支或者财务收支的真实、合法效益，依法进行审计监督</w:t>
      </w:r>
      <w:r>
        <w:rPr>
          <w:rFonts w:hint="eastAsia" w:ascii="仿宋_GB2312" w:hAnsi="仿宋_GB2312" w:eastAsia="仿宋_GB2312" w:cs="仿宋_GB2312"/>
          <w:color w:val="000000"/>
          <w:sz w:val="32"/>
          <w:szCs w:val="32"/>
          <w:lang w:eastAsia="zh-CN"/>
        </w:rPr>
        <w:t>。</w:t>
      </w:r>
    </w:p>
    <w:p>
      <w:pPr>
        <w:numPr>
          <w:numId w:val="0"/>
        </w:numPr>
        <w:wordWrap/>
        <w:adjustRightInd w:val="0"/>
        <w:snapToGrid w:val="0"/>
        <w:spacing w:before="0" w:after="0" w:line="600" w:lineRule="exact"/>
        <w:ind w:leftChars="200"/>
        <w:textAlignment w:val="auto"/>
        <w:outlineLvl w:val="0"/>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二、部门预算单位构成</w:t>
      </w:r>
    </w:p>
    <w:p>
      <w:pPr>
        <w:spacing w:line="480" w:lineRule="auto"/>
        <w:rPr>
          <w:rFonts w:hint="eastAsia" w:ascii="仿宋" w:hAnsi="仿宋" w:eastAsia="仿宋" w:cs="宋体"/>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宋体"/>
          <w:color w:val="000000"/>
          <w:sz w:val="32"/>
          <w:szCs w:val="32"/>
          <w:lang w:val="en-US" w:eastAsia="zh-CN"/>
        </w:rPr>
        <w:t xml:space="preserve">  我单位有二级机构 1 个，本预算为汇总预算，纳入我单位2018年部门预算编报范围的预算单位有：</w:t>
      </w:r>
    </w:p>
    <w:p>
      <w:pPr>
        <w:spacing w:line="480" w:lineRule="auto"/>
        <w:rPr>
          <w:rFonts w:hint="eastAsia" w:ascii="仿宋" w:hAnsi="仿宋" w:eastAsia="仿宋" w:cs="宋体"/>
          <w:color w:val="000000"/>
          <w:sz w:val="32"/>
          <w:szCs w:val="32"/>
          <w:lang w:val="en-US" w:eastAsia="zh-CN"/>
        </w:rPr>
      </w:pPr>
      <w:r>
        <w:rPr>
          <w:rFonts w:hint="eastAsia" w:ascii="仿宋" w:hAnsi="仿宋" w:eastAsia="仿宋" w:cs="宋体"/>
          <w:color w:val="000000"/>
          <w:sz w:val="32"/>
          <w:szCs w:val="32"/>
          <w:lang w:val="en-US" w:eastAsia="zh-CN"/>
        </w:rPr>
        <w:t xml:space="preserve">  1、温县政府工程设计中心。</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pacing w:val="-38"/>
          <w:sz w:val="32"/>
          <w:szCs w:val="32"/>
        </w:rPr>
      </w:pPr>
      <w:r>
        <w:rPr>
          <w:rFonts w:hint="eastAsia" w:ascii="方正小标宋简体" w:hAnsi="方正小标宋简体" w:eastAsia="方正小标宋简体" w:cs="方正小标宋简体"/>
          <w:color w:val="000000"/>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val="en-US" w:eastAsia="zh-CN"/>
        </w:rPr>
        <w:t xml:space="preserve"> </w:t>
      </w:r>
      <w:r>
        <w:rPr>
          <w:rFonts w:hint="eastAsia" w:ascii="方正小标宋简体" w:hAnsi="方正小标宋简体" w:eastAsia="方正小标宋简体" w:cs="方正小标宋简体"/>
          <w:color w:val="000000"/>
          <w:sz w:val="32"/>
          <w:szCs w:val="32"/>
        </w:rPr>
        <w:t>201</w:t>
      </w:r>
      <w:r>
        <w:rPr>
          <w:rFonts w:hint="eastAsia" w:ascii="方正小标宋简体" w:hAnsi="方正小标宋简体" w:eastAsia="方正小标宋简体" w:cs="方正小标宋简体"/>
          <w:color w:val="000000"/>
          <w:sz w:val="32"/>
          <w:szCs w:val="32"/>
          <w:lang w:val="en-US" w:eastAsia="zh-CN"/>
        </w:rPr>
        <w:t>8</w:t>
      </w:r>
      <w:r>
        <w:rPr>
          <w:rFonts w:hint="eastAsia" w:ascii="方正小标宋简体" w:hAnsi="方正小标宋简体" w:eastAsia="方正小标宋简体" w:cs="方正小标宋简体"/>
          <w:color w:val="000000"/>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color w:val="000000"/>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一、收入支出预算总体情况说明</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温县审计局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年收入</w:t>
      </w:r>
      <w:r>
        <w:rPr>
          <w:rFonts w:hint="eastAsia" w:ascii="仿宋_GB2312" w:hAnsi="仿宋_GB2312" w:eastAsia="仿宋_GB2312" w:cs="仿宋_GB2312"/>
          <w:color w:val="000000"/>
          <w:sz w:val="32"/>
          <w:szCs w:val="32"/>
          <w:lang w:eastAsia="zh-CN"/>
        </w:rPr>
        <w:t>总计</w:t>
      </w:r>
      <w:r>
        <w:rPr>
          <w:rFonts w:hint="eastAsia" w:ascii="仿宋_GB2312" w:hAnsi="仿宋_GB2312" w:eastAsia="仿宋_GB2312" w:cs="仿宋_GB2312"/>
          <w:color w:val="000000"/>
          <w:sz w:val="32"/>
          <w:szCs w:val="32"/>
          <w:lang w:val="en-US" w:eastAsia="zh-CN"/>
        </w:rPr>
        <w:t xml:space="preserve"> 283.38</w:t>
      </w:r>
      <w:r>
        <w:rPr>
          <w:rFonts w:hint="eastAsia" w:ascii="仿宋_GB2312" w:hAnsi="仿宋_GB2312" w:eastAsia="仿宋_GB2312" w:cs="仿宋_GB2312"/>
          <w:color w:val="000000"/>
          <w:sz w:val="32"/>
          <w:szCs w:val="32"/>
        </w:rPr>
        <w:t>万元，支出总计</w:t>
      </w:r>
      <w:r>
        <w:rPr>
          <w:rFonts w:hint="eastAsia" w:ascii="仿宋_GB2312" w:hAnsi="仿宋_GB2312" w:eastAsia="仿宋_GB2312" w:cs="仿宋_GB2312"/>
          <w:color w:val="000000"/>
          <w:sz w:val="32"/>
          <w:szCs w:val="32"/>
          <w:lang w:val="en-US" w:eastAsia="zh-CN"/>
        </w:rPr>
        <w:t>283.38</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年相比，</w:t>
      </w:r>
      <w:r>
        <w:rPr>
          <w:rFonts w:hint="eastAsia" w:ascii="仿宋_GB2312" w:hAnsi="仿宋_GB2312" w:eastAsia="仿宋_GB2312" w:cs="仿宋_GB2312"/>
          <w:sz w:val="32"/>
          <w:szCs w:val="32"/>
        </w:rPr>
        <w:t>收、支总计各</w:t>
      </w:r>
      <w:r>
        <w:rPr>
          <w:rFonts w:hint="eastAsia" w:ascii="仿宋_GB2312" w:hAnsi="仿宋_GB2312" w:eastAsia="仿宋_GB2312" w:cs="仿宋_GB2312"/>
          <w:sz w:val="32"/>
          <w:szCs w:val="32"/>
          <w:lang w:eastAsia="zh-CN"/>
        </w:rPr>
        <w:t>增加</w:t>
      </w:r>
      <w:r>
        <w:rPr>
          <w:rFonts w:hint="eastAsia" w:ascii="仿宋_GB2312" w:eastAsia="仿宋_GB2312"/>
          <w:color w:val="000000"/>
          <w:sz w:val="32"/>
          <w:szCs w:val="32"/>
        </w:rPr>
        <w:t>20.06</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7.62%</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eastAsia="zh-CN"/>
        </w:rPr>
        <w:t>工资调整。</w:t>
      </w:r>
    </w:p>
    <w:p>
      <w:pPr>
        <w:wordWrap/>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温县审计局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年收入合计</w:t>
      </w:r>
      <w:r>
        <w:rPr>
          <w:rFonts w:hint="eastAsia" w:ascii="仿宋_GB2312" w:hAnsi="仿宋_GB2312" w:eastAsia="仿宋_GB2312" w:cs="仿宋_GB2312"/>
          <w:color w:val="000000"/>
          <w:sz w:val="32"/>
          <w:szCs w:val="32"/>
          <w:lang w:val="en-US" w:eastAsia="zh-CN"/>
        </w:rPr>
        <w:t xml:space="preserve"> 283.38</w:t>
      </w:r>
      <w:r>
        <w:rPr>
          <w:rFonts w:hint="eastAsia" w:ascii="仿宋_GB2312" w:hAnsi="仿宋_GB2312" w:eastAsia="仿宋_GB2312" w:cs="仿宋_GB2312"/>
          <w:color w:val="000000"/>
          <w:sz w:val="32"/>
          <w:szCs w:val="32"/>
        </w:rPr>
        <w:t>万元，其中：一般公共预算</w:t>
      </w:r>
      <w:r>
        <w:rPr>
          <w:rFonts w:hint="eastAsia" w:ascii="仿宋_GB2312" w:hAnsi="仿宋_GB2312" w:eastAsia="仿宋_GB2312" w:cs="仿宋_GB2312"/>
          <w:color w:val="000000"/>
          <w:sz w:val="32"/>
          <w:szCs w:val="32"/>
          <w:lang w:eastAsia="zh-CN"/>
        </w:rPr>
        <w:t>合计</w:t>
      </w:r>
      <w:r>
        <w:rPr>
          <w:rFonts w:hint="eastAsia" w:ascii="仿宋_GB2312" w:hAnsi="仿宋_GB2312" w:eastAsia="仿宋_GB2312" w:cs="仿宋_GB2312"/>
          <w:color w:val="000000"/>
          <w:sz w:val="32"/>
          <w:szCs w:val="32"/>
          <w:lang w:val="en-US" w:eastAsia="zh-CN"/>
        </w:rPr>
        <w:t>283.38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，本级财力</w:t>
      </w:r>
      <w:r>
        <w:rPr>
          <w:rFonts w:hint="eastAsia" w:ascii="仿宋_GB2312" w:hAnsi="仿宋_GB2312" w:eastAsia="仿宋_GB2312" w:cs="仿宋_GB2312"/>
          <w:color w:val="000000"/>
          <w:sz w:val="32"/>
          <w:szCs w:val="32"/>
          <w:lang w:val="en-US" w:eastAsia="zh-CN"/>
        </w:rPr>
        <w:t>267.38万元，</w:t>
      </w:r>
      <w:r>
        <w:rPr>
          <w:rFonts w:hint="eastAsia" w:ascii="仿宋_GB2312" w:hAnsi="仿宋_GB2312" w:eastAsia="仿宋_GB2312" w:cs="仿宋_GB2312"/>
          <w:color w:val="000000"/>
          <w:sz w:val="32"/>
          <w:szCs w:val="32"/>
          <w:lang w:eastAsia="zh-CN"/>
        </w:rPr>
        <w:t>非税收入</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，上级转移支付收入</w:t>
      </w:r>
      <w:r>
        <w:rPr>
          <w:rFonts w:hint="eastAsia" w:ascii="仿宋_GB2312" w:hAnsi="仿宋_GB2312" w:eastAsia="仿宋_GB2312" w:cs="仿宋_GB2312"/>
          <w:color w:val="000000"/>
          <w:sz w:val="32"/>
          <w:szCs w:val="32"/>
          <w:lang w:val="en-US" w:eastAsia="zh-CN"/>
        </w:rPr>
        <w:t>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政府性基金收入</w:t>
      </w:r>
      <w:r>
        <w:rPr>
          <w:rFonts w:hint="eastAsia" w:ascii="仿宋_GB2312" w:hAnsi="仿宋_GB2312" w:eastAsia="仿宋_GB2312" w:cs="仿宋_GB2312"/>
          <w:color w:val="000000"/>
          <w:sz w:val="32"/>
          <w:szCs w:val="32"/>
          <w:lang w:val="en-US" w:eastAsia="zh-CN"/>
        </w:rPr>
        <w:t xml:space="preserve"> 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温县审计局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283.38</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214.43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eastAsia="zh-CN"/>
        </w:rPr>
        <w:t>比为</w:t>
      </w:r>
      <w:r>
        <w:rPr>
          <w:rFonts w:hint="eastAsia" w:ascii="仿宋_GB2312" w:hAnsi="仿宋_GB2312" w:eastAsia="仿宋_GB2312" w:cs="仿宋_GB2312"/>
          <w:color w:val="000000"/>
          <w:sz w:val="32"/>
          <w:szCs w:val="32"/>
          <w:lang w:val="en-US" w:eastAsia="zh-CN"/>
        </w:rPr>
        <w:t>76%</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68.95</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eastAsia="zh-CN"/>
        </w:rPr>
        <w:t>比为</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w:t>
      </w:r>
    </w:p>
    <w:p>
      <w:pPr>
        <w:pStyle w:val="3"/>
        <w:spacing w:line="600" w:lineRule="atLeast"/>
        <w:ind w:firstLine="640"/>
        <w:rPr>
          <w:rFonts w:ascii="黑体" w:hAnsi="宋体" w:eastAsia="黑体"/>
          <w:color w:val="000000"/>
          <w:sz w:val="32"/>
          <w:szCs w:val="32"/>
        </w:rPr>
      </w:pPr>
      <w:r>
        <w:rPr>
          <w:rFonts w:hint="eastAsia" w:ascii="黑体" w:hAnsi="黑体" w:eastAsia="黑体"/>
          <w:color w:val="000000"/>
          <w:sz w:val="32"/>
          <w:szCs w:val="32"/>
        </w:rPr>
        <w:t>四、财政拨款收入支出预算总体情况说明</w:t>
      </w:r>
    </w:p>
    <w:p>
      <w:pPr>
        <w:pStyle w:val="3"/>
        <w:spacing w:line="600" w:lineRule="atLeast"/>
        <w:ind w:firstLine="640"/>
        <w:rPr>
          <w:rFonts w:hint="eastAsia" w:ascii="仿宋_GB2312" w:eastAsia="仿宋_GB2312"/>
          <w:color w:val="000000"/>
          <w:sz w:val="32"/>
          <w:szCs w:val="32"/>
        </w:rPr>
      </w:pPr>
      <w:r>
        <w:rPr>
          <w:rFonts w:hint="eastAsia" w:ascii="仿宋_GB2312" w:eastAsia="仿宋_GB2312"/>
          <w:color w:val="000000"/>
          <w:sz w:val="32"/>
          <w:szCs w:val="32"/>
        </w:rPr>
        <w:t>温县审计局2018年一般公共预算收支预算283.38万元,</w:t>
      </w:r>
      <w:r>
        <w:rPr>
          <w:rFonts w:hint="eastAsia" w:ascii="仿宋_GB2312" w:eastAsia="仿宋_GB2312"/>
          <w:color w:val="000000"/>
          <w:sz w:val="32"/>
          <w:szCs w:val="32"/>
          <w:lang w:eastAsia="zh-CN"/>
        </w:rPr>
        <w:t>政府性基金收支预算</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 xml:space="preserve"> 与2017年相比，一般公共预算收支预算增加20.06万元，增长7</w:t>
      </w:r>
      <w:r>
        <w:rPr>
          <w:rFonts w:hint="eastAsia" w:ascii="仿宋_GB2312" w:eastAsia="仿宋_GB2312"/>
          <w:color w:val="000000"/>
          <w:sz w:val="32"/>
          <w:szCs w:val="32"/>
          <w:lang w:val="en-US" w:eastAsia="zh-CN"/>
        </w:rPr>
        <w:t>.62</w:t>
      </w:r>
      <w:bookmarkStart w:id="0" w:name="_GoBack"/>
      <w:bookmarkEnd w:id="0"/>
      <w:r>
        <w:rPr>
          <w:rFonts w:hint="eastAsia" w:ascii="仿宋_GB2312" w:eastAsia="仿宋_GB2312"/>
          <w:color w:val="000000"/>
          <w:sz w:val="32"/>
          <w:szCs w:val="32"/>
        </w:rPr>
        <w:t>%，主要原因：工资上涨。政府性基金收支增加0万元，增长</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2017比保持一致，无变化</w:t>
      </w:r>
      <w:r>
        <w:rPr>
          <w:rFonts w:hint="eastAsia" w:ascii="仿宋_GB2312" w:eastAsia="仿宋_GB2312"/>
          <w:color w:val="000000"/>
          <w:sz w:val="32"/>
          <w:szCs w:val="32"/>
        </w:rPr>
        <w:t>。</w:t>
      </w:r>
    </w:p>
    <w:p>
      <w:pPr>
        <w:pStyle w:val="3"/>
        <w:spacing w:line="600" w:lineRule="atLeast"/>
        <w:ind w:firstLine="640"/>
        <w:rPr>
          <w:rFonts w:hint="eastAsia" w:ascii="黑体" w:hAnsi="宋体" w:eastAsia="黑体"/>
          <w:color w:val="000000"/>
          <w:sz w:val="32"/>
          <w:szCs w:val="32"/>
        </w:rPr>
      </w:pPr>
      <w:r>
        <w:rPr>
          <w:rFonts w:hint="eastAsia" w:ascii="黑体" w:hAnsi="黑体" w:eastAsia="黑体"/>
          <w:color w:val="000000"/>
          <w:sz w:val="32"/>
          <w:szCs w:val="32"/>
        </w:rPr>
        <w:t>五、一般公共预算支出预算情况说明</w:t>
      </w:r>
    </w:p>
    <w:p>
      <w:pPr>
        <w:pStyle w:val="3"/>
        <w:spacing w:line="600" w:lineRule="atLeast"/>
        <w:ind w:firstLine="640"/>
        <w:rPr>
          <w:rFonts w:hint="eastAsia" w:ascii="仿宋_GB2312" w:eastAsia="仿宋_GB2312"/>
          <w:color w:val="000000"/>
          <w:sz w:val="32"/>
          <w:szCs w:val="32"/>
        </w:rPr>
      </w:pPr>
      <w:r>
        <w:rPr>
          <w:rFonts w:hint="eastAsia" w:ascii="仿宋_GB2312" w:eastAsia="仿宋_GB2312"/>
          <w:color w:val="000000"/>
          <w:sz w:val="32"/>
          <w:szCs w:val="32"/>
        </w:rPr>
        <w:t>温县审计局2018年一般公共预算支出年初预算为283.38万元。主要用于以下方面：一般公共服务支出245.75万元，占86.7%；社会保障和就业支出27.77万元，占10%；医疗卫生与计划生育支出9.86万元，占3.3%。</w:t>
      </w:r>
    </w:p>
    <w:p>
      <w:pPr>
        <w:pStyle w:val="3"/>
        <w:spacing w:line="600" w:lineRule="atLeast"/>
        <w:ind w:firstLine="640"/>
        <w:rPr>
          <w:rFonts w:hint="eastAsia" w:ascii="黑体" w:hAnsi="宋体" w:eastAsia="黑体"/>
          <w:color w:val="000000"/>
          <w:sz w:val="32"/>
          <w:szCs w:val="32"/>
        </w:rPr>
      </w:pPr>
      <w:r>
        <w:rPr>
          <w:rFonts w:hint="eastAsia" w:ascii="黑体" w:hAnsi="黑体" w:eastAsia="黑体"/>
          <w:color w:val="000000"/>
          <w:sz w:val="32"/>
          <w:szCs w:val="32"/>
        </w:rPr>
        <w:t>六、一般公共预算基本支出预算情况说明</w:t>
      </w:r>
    </w:p>
    <w:p>
      <w:pPr>
        <w:pStyle w:val="3"/>
        <w:spacing w:line="600" w:lineRule="atLeast"/>
        <w:ind w:firstLine="640"/>
        <w:rPr>
          <w:rFonts w:hint="eastAsia" w:ascii="仿宋_GB2312" w:eastAsia="仿宋_GB2312"/>
          <w:color w:val="000000"/>
          <w:sz w:val="32"/>
          <w:szCs w:val="32"/>
        </w:rPr>
      </w:pPr>
      <w:r>
        <w:rPr>
          <w:rFonts w:hint="eastAsia" w:ascii="仿宋_GB2312" w:eastAsia="仿宋_GB2312"/>
          <w:color w:val="000000"/>
          <w:sz w:val="32"/>
          <w:szCs w:val="32"/>
        </w:rPr>
        <w:t>温县审计局2018年一般公共预算基本支出214.43万元，其中：人员经费19</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.43万元，</w:t>
      </w:r>
      <w:r>
        <w:rPr>
          <w:rFonts w:hint="eastAsia" w:ascii="仿宋_GB2312" w:eastAsia="仿宋_GB2312"/>
          <w:color w:val="000000"/>
          <w:sz w:val="32"/>
          <w:szCs w:val="32"/>
          <w:lang w:eastAsia="zh-CN"/>
        </w:rPr>
        <w:t>主要包括：</w:t>
      </w:r>
      <w:r>
        <w:rPr>
          <w:rFonts w:hint="eastAsia" w:ascii="仿宋_GB2312" w:eastAsia="仿宋_GB2312"/>
          <w:color w:val="000000"/>
          <w:sz w:val="32"/>
          <w:szCs w:val="32"/>
        </w:rPr>
        <w:t>基本工资、津贴补贴、绩效工资、机关事业单位基本养老保险缴费、医疗保险缴费、其他社会保障缴费；公用经费21万元，主要包括：印刷费、邮电费、差旅费</w:t>
      </w:r>
      <w:r>
        <w:rPr>
          <w:rFonts w:hint="eastAsia" w:ascii="仿宋_GB2312" w:eastAsia="仿宋_GB2312"/>
          <w:color w:val="000000"/>
          <w:sz w:val="32"/>
          <w:szCs w:val="32"/>
          <w:lang w:eastAsia="zh-CN"/>
        </w:rPr>
        <w:t>、其他交通费用</w:t>
      </w:r>
      <w:r>
        <w:rPr>
          <w:rFonts w:hint="eastAsia" w:ascii="仿宋_GB2312" w:eastAsia="仿宋_GB2312"/>
          <w:color w:val="000000"/>
          <w:sz w:val="32"/>
          <w:szCs w:val="32"/>
        </w:rPr>
        <w:t>。</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kern w:val="0"/>
          <w:sz w:val="32"/>
          <w:szCs w:val="32"/>
          <w:lang w:eastAsia="zh-CN"/>
        </w:rPr>
        <w:t>七</w:t>
      </w:r>
      <w:r>
        <w:rPr>
          <w:rFonts w:hint="eastAsia" w:ascii="黑体" w:hAnsi="黑体" w:eastAsia="黑体" w:cs="黑体"/>
          <w:color w:val="000000"/>
          <w:kern w:val="0"/>
          <w:sz w:val="32"/>
          <w:szCs w:val="32"/>
        </w:rPr>
        <w:t>、“三公”经费支出预算情况说明</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温县审计局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 xml:space="preserve"> 年“三公”经费预算为</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万元。201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年“三公”经费支出预算数比 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年预算数</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万元。具体支出情况如下：</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具体支出情况如下：</w:t>
      </w:r>
    </w:p>
    <w:p>
      <w:pPr>
        <w:numPr>
          <w:ilvl w:val="0"/>
          <w:numId w:val="3"/>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pacing w:val="-1"/>
          <w:kern w:val="0"/>
          <w:sz w:val="32"/>
          <w:szCs w:val="32"/>
        </w:rPr>
        <w:t>因公出国（境）费</w:t>
      </w:r>
      <w:r>
        <w:rPr>
          <w:rFonts w:hint="eastAsia" w:ascii="仿宋_GB2312" w:hAnsi="仿宋_GB2312" w:eastAsia="仿宋_GB2312" w:cs="仿宋_GB2312"/>
          <w:color w:val="000000"/>
          <w:sz w:val="32"/>
          <w:szCs w:val="32"/>
          <w:lang w:val="en-US" w:eastAsia="zh-CN"/>
        </w:rPr>
        <w:t xml:space="preserve"> 0万元。与2017年数一致，增长0%。</w:t>
      </w:r>
    </w:p>
    <w:p>
      <w:pPr>
        <w:numPr>
          <w:ilvl w:val="0"/>
          <w:numId w:val="4"/>
        </w:numPr>
        <w:wordWrap/>
        <w:spacing w:before="0" w:after="0" w:line="600" w:lineRule="exact"/>
        <w:ind w:left="0" w:leftChars="0" w:firstLine="639"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pacing w:val="-1"/>
          <w:kern w:val="0"/>
          <w:sz w:val="32"/>
          <w:szCs w:val="32"/>
        </w:rPr>
        <w:t>公务用车购置及运行费</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kern w:val="0"/>
          <w:sz w:val="32"/>
          <w:szCs w:val="32"/>
        </w:rPr>
        <w:t>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0万元，增长0%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eastAsia="zh-CN"/>
        </w:rPr>
        <w:t>公车运行维护费</w:t>
      </w:r>
      <w:r>
        <w:rPr>
          <w:rFonts w:hint="eastAsia" w:ascii="仿宋_GB2312" w:hAnsi="仿宋_GB2312" w:eastAsia="仿宋_GB2312" w:cs="仿宋_GB2312"/>
          <w:color w:val="000000"/>
          <w:sz w:val="32"/>
          <w:szCs w:val="32"/>
          <w:lang w:val="en-US" w:eastAsia="zh-CN"/>
        </w:rPr>
        <w:t>1万元，较2017年增加1万元，无增长百分比。主要用于政府工程审计中心开展审计工作的车辆运行及维护</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新增原因为：</w:t>
      </w:r>
      <w:r>
        <w:rPr>
          <w:rFonts w:hint="eastAsia" w:ascii="仿宋_GB2312" w:hAnsi="仿宋_GB2312" w:eastAsia="仿宋_GB2312" w:cs="仿宋_GB2312"/>
          <w:color w:val="000000"/>
          <w:sz w:val="32"/>
          <w:szCs w:val="32"/>
          <w:lang w:val="en-US" w:eastAsia="zh-CN"/>
        </w:rPr>
        <w:t>2018年</w:t>
      </w:r>
      <w:r>
        <w:rPr>
          <w:rFonts w:hint="eastAsia" w:ascii="仿宋_GB2312" w:hAnsi="仿宋_GB2312" w:eastAsia="仿宋_GB2312" w:cs="仿宋_GB2312"/>
          <w:color w:val="000000"/>
          <w:sz w:val="32"/>
          <w:szCs w:val="32"/>
          <w:lang w:eastAsia="zh-CN"/>
        </w:rPr>
        <w:t>合并二级预算单位</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政府工程审计中心账套，公车运行费用</w:t>
      </w:r>
      <w:r>
        <w:rPr>
          <w:rFonts w:hint="eastAsia" w:ascii="仿宋_GB2312" w:hAnsi="仿宋_GB2312" w:eastAsia="仿宋_GB2312" w:cs="仿宋_GB2312"/>
          <w:color w:val="000000"/>
          <w:sz w:val="32"/>
          <w:szCs w:val="32"/>
          <w:lang w:val="en-US" w:eastAsia="zh-CN"/>
        </w:rPr>
        <w:t>1万元 。</w:t>
      </w:r>
    </w:p>
    <w:p>
      <w:pPr>
        <w:numPr>
          <w:ilvl w:val="0"/>
          <w:numId w:val="4"/>
        </w:numPr>
        <w:wordWrap/>
        <w:spacing w:before="0" w:after="0" w:line="600" w:lineRule="exact"/>
        <w:ind w:left="0" w:leftChars="0" w:firstLine="639" w:firstLineChars="200"/>
        <w:textAlignment w:val="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pacing w:val="-1"/>
          <w:kern w:val="0"/>
          <w:sz w:val="32"/>
          <w:szCs w:val="32"/>
        </w:rPr>
        <w:t>公务接待费</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万元，主要用于按规定开支的各类公务接待支出。</w:t>
      </w:r>
      <w:r>
        <w:rPr>
          <w:rFonts w:hint="eastAsia" w:ascii="仿宋_GB2312" w:hAnsi="仿宋_GB2312" w:eastAsia="仿宋_GB2312" w:cs="仿宋_GB2312"/>
          <w:color w:val="000000"/>
          <w:sz w:val="32"/>
          <w:szCs w:val="32"/>
          <w:lang w:eastAsia="zh-CN"/>
        </w:rPr>
        <w:t>预算数</w:t>
      </w:r>
      <w:r>
        <w:rPr>
          <w:rFonts w:hint="eastAsia" w:ascii="仿宋_GB2312" w:hAnsi="仿宋_GB2312" w:eastAsia="仿宋_GB2312" w:cs="仿宋_GB2312"/>
          <w:color w:val="000000"/>
          <w:sz w:val="32"/>
          <w:szCs w:val="32"/>
          <w:lang w:val="en-US" w:eastAsia="zh-CN"/>
        </w:rPr>
        <w:t>比2017年减少0.5万元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eastAsia="zh-CN"/>
        </w:rPr>
        <w:t>贯彻厉行节约原则，接待次数减少</w:t>
      </w:r>
      <w:r>
        <w:rPr>
          <w:rFonts w:hint="eastAsia" w:ascii="仿宋_GB2312" w:hAnsi="仿宋_GB2312" w:eastAsia="仿宋_GB2312" w:cs="仿宋_GB2312"/>
          <w:color w:val="000000"/>
          <w:sz w:val="32"/>
          <w:szCs w:val="32"/>
          <w:lang w:val="en-US" w:eastAsia="zh-CN"/>
        </w:rPr>
        <w:t>。</w:t>
      </w:r>
    </w:p>
    <w:p>
      <w:pPr>
        <w:wordWrap/>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kern w:val="0"/>
          <w:sz w:val="32"/>
          <w:szCs w:val="32"/>
          <w:lang w:eastAsia="zh-CN"/>
        </w:rPr>
        <w:t>八、</w:t>
      </w:r>
      <w:r>
        <w:rPr>
          <w:rFonts w:hint="eastAsia" w:ascii="黑体" w:hAnsi="黑体" w:eastAsia="黑体" w:cs="黑体"/>
          <w:color w:val="000000"/>
          <w:kern w:val="0"/>
          <w:sz w:val="32"/>
          <w:szCs w:val="32"/>
        </w:rPr>
        <w:t>政府性基金预算支出</w:t>
      </w:r>
      <w:r>
        <w:rPr>
          <w:rFonts w:hint="eastAsia" w:ascii="黑体" w:hAnsi="黑体" w:eastAsia="黑体" w:cs="黑体"/>
          <w:color w:val="000000"/>
          <w:kern w:val="0"/>
          <w:sz w:val="32"/>
          <w:szCs w:val="32"/>
          <w:lang w:eastAsia="zh-CN"/>
        </w:rPr>
        <w:t>预算</w:t>
      </w:r>
      <w:r>
        <w:rPr>
          <w:rFonts w:hint="eastAsia" w:ascii="黑体" w:hAnsi="黑体" w:eastAsia="黑体" w:cs="黑体"/>
          <w:color w:val="000000"/>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我单位</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年没有使用政府性基金预算拨款安排的</w:t>
      </w:r>
      <w:r>
        <w:rPr>
          <w:rFonts w:hint="eastAsia" w:ascii="仿宋_GB2312" w:hAnsi="仿宋_GB2312" w:eastAsia="仿宋_GB2312" w:cs="仿宋_GB2312"/>
          <w:color w:val="000000"/>
          <w:sz w:val="32"/>
          <w:szCs w:val="32"/>
          <w:lang w:eastAsia="zh-CN"/>
        </w:rPr>
        <w:t>收支</w:t>
      </w:r>
      <w:r>
        <w:rPr>
          <w:rFonts w:hint="eastAsia" w:ascii="仿宋_GB2312" w:hAnsi="仿宋_GB2312" w:eastAsia="仿宋_GB2312" w:cs="仿宋_GB2312"/>
          <w:color w:val="000000"/>
          <w:sz w:val="32"/>
          <w:szCs w:val="32"/>
        </w:rPr>
        <w:t>。</w:t>
      </w:r>
    </w:p>
    <w:p>
      <w:pPr>
        <w:wordWrap/>
        <w:spacing w:before="0" w:after="0" w:line="600" w:lineRule="exact"/>
        <w:ind w:left="0" w:leftChars="0"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sz w:val="32"/>
          <w:szCs w:val="32"/>
          <w:lang w:eastAsia="zh-CN"/>
        </w:rPr>
        <w:t>九、</w:t>
      </w:r>
      <w:r>
        <w:rPr>
          <w:rFonts w:hint="eastAsia" w:ascii="黑体" w:hAnsi="黑体" w:eastAsia="黑体" w:cs="黑体"/>
          <w:color w:val="000000"/>
          <w:kern w:val="0"/>
          <w:sz w:val="32"/>
          <w:szCs w:val="32"/>
          <w:lang w:eastAsia="zh-CN"/>
        </w:rPr>
        <w:t>国有资本经营</w:t>
      </w:r>
      <w:r>
        <w:rPr>
          <w:rFonts w:hint="eastAsia" w:ascii="黑体" w:hAnsi="黑体" w:eastAsia="黑体" w:cs="黑体"/>
          <w:color w:val="000000"/>
          <w:kern w:val="0"/>
          <w:sz w:val="32"/>
          <w:szCs w:val="32"/>
        </w:rPr>
        <w:t>预算支出</w:t>
      </w:r>
      <w:r>
        <w:rPr>
          <w:rFonts w:hint="eastAsia" w:ascii="黑体" w:hAnsi="黑体" w:eastAsia="黑体" w:cs="黑体"/>
          <w:color w:val="000000"/>
          <w:kern w:val="0"/>
          <w:sz w:val="32"/>
          <w:szCs w:val="32"/>
          <w:lang w:eastAsia="zh-CN"/>
        </w:rPr>
        <w:t>预算</w:t>
      </w:r>
      <w:r>
        <w:rPr>
          <w:rFonts w:hint="eastAsia" w:ascii="黑体" w:hAnsi="黑体" w:eastAsia="黑体" w:cs="黑体"/>
          <w:color w:val="000000"/>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我单位</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年没有使用</w:t>
      </w:r>
      <w:r>
        <w:rPr>
          <w:rFonts w:hint="eastAsia" w:ascii="仿宋_GB2312" w:hAnsi="仿宋_GB2312" w:eastAsia="仿宋_GB2312" w:cs="仿宋_GB2312"/>
          <w:color w:val="000000"/>
          <w:sz w:val="32"/>
          <w:szCs w:val="32"/>
          <w:lang w:eastAsia="zh-CN"/>
        </w:rPr>
        <w:t>国有资本经营</w:t>
      </w:r>
      <w:r>
        <w:rPr>
          <w:rFonts w:hint="eastAsia" w:ascii="仿宋_GB2312" w:hAnsi="仿宋_GB2312" w:eastAsia="仿宋_GB2312" w:cs="仿宋_GB2312"/>
          <w:color w:val="000000"/>
          <w:sz w:val="32"/>
          <w:szCs w:val="32"/>
        </w:rPr>
        <w:t>预算拨款安排的</w:t>
      </w:r>
      <w:r>
        <w:rPr>
          <w:rFonts w:hint="eastAsia" w:ascii="仿宋_GB2312" w:hAnsi="仿宋_GB2312" w:eastAsia="仿宋_GB2312" w:cs="仿宋_GB2312"/>
          <w:color w:val="000000"/>
          <w:sz w:val="32"/>
          <w:szCs w:val="32"/>
          <w:lang w:eastAsia="zh-CN"/>
        </w:rPr>
        <w:t>收支</w:t>
      </w:r>
      <w:r>
        <w:rPr>
          <w:rFonts w:hint="eastAsia" w:ascii="仿宋_GB2312" w:hAnsi="仿宋_GB2312" w:eastAsia="仿宋_GB2312" w:cs="仿宋_GB2312"/>
          <w:color w:val="000000"/>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pacing w:val="-1"/>
          <w:kern w:val="0"/>
          <w:sz w:val="32"/>
          <w:szCs w:val="32"/>
          <w:lang w:eastAsia="zh-CN"/>
        </w:rPr>
        <w:t>十</w:t>
      </w:r>
      <w:r>
        <w:rPr>
          <w:rFonts w:hint="eastAsia" w:ascii="黑体" w:hAnsi="黑体" w:eastAsia="黑体" w:cs="黑体"/>
          <w:color w:val="000000"/>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color w:val="000000"/>
          <w:sz w:val="32"/>
          <w:szCs w:val="32"/>
        </w:rPr>
      </w:pPr>
      <w:r>
        <w:rPr>
          <w:rFonts w:hint="eastAsia" w:ascii="楷体" w:hAnsi="楷体" w:eastAsia="楷体" w:cs="楷体"/>
          <w:b w:val="0"/>
          <w:bCs/>
          <w:color w:val="000000"/>
          <w:kern w:val="0"/>
          <w:sz w:val="32"/>
          <w:szCs w:val="32"/>
          <w:lang w:val="en-US" w:eastAsia="zh-CN"/>
        </w:rPr>
        <w:t xml:space="preserve">   </w:t>
      </w:r>
      <w:r>
        <w:rPr>
          <w:rFonts w:hint="eastAsia" w:ascii="楷体" w:hAnsi="楷体" w:eastAsia="楷体" w:cs="楷体"/>
          <w:b w:val="0"/>
          <w:bCs/>
          <w:color w:val="000000"/>
          <w:kern w:val="0"/>
          <w:sz w:val="32"/>
          <w:szCs w:val="32"/>
        </w:rPr>
        <w:t>（一）</w:t>
      </w:r>
      <w:r>
        <w:rPr>
          <w:rFonts w:hint="eastAsia" w:ascii="楷体" w:hAnsi="楷体" w:eastAsia="楷体" w:cs="楷体"/>
          <w:b w:val="0"/>
          <w:bCs/>
          <w:color w:val="000000"/>
          <w:kern w:val="0"/>
          <w:sz w:val="32"/>
          <w:szCs w:val="32"/>
          <w:lang w:eastAsia="zh-CN"/>
        </w:rPr>
        <w:t>机关运行经费</w:t>
      </w:r>
      <w:r>
        <w:rPr>
          <w:rFonts w:hint="eastAsia" w:ascii="楷体" w:hAnsi="楷体" w:eastAsia="楷体" w:cs="楷体"/>
          <w:b w:val="0"/>
          <w:bCs/>
          <w:color w:val="000000"/>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机关运行经费</w:t>
      </w:r>
      <w:r>
        <w:rPr>
          <w:rFonts w:hint="eastAsia" w:ascii="仿宋_GB2312" w:hAnsi="仿宋_GB2312" w:eastAsia="仿宋_GB2312" w:cs="仿宋_GB2312"/>
          <w:color w:val="000000"/>
          <w:sz w:val="32"/>
          <w:szCs w:val="32"/>
        </w:rPr>
        <w:t xml:space="preserve">预算 </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lang w:val="en-US" w:eastAsia="zh-CN"/>
        </w:rPr>
        <w:t xml:space="preserve">   </w:t>
      </w:r>
      <w:r>
        <w:rPr>
          <w:rFonts w:hint="eastAsia" w:ascii="楷体" w:hAnsi="楷体" w:eastAsia="楷体" w:cs="楷体"/>
          <w:b w:val="0"/>
          <w:bCs/>
          <w:color w:val="000000"/>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我单位无</w:t>
      </w:r>
      <w:r>
        <w:rPr>
          <w:rFonts w:hint="eastAsia" w:ascii="仿宋_GB2312" w:hAnsi="仿宋_GB2312" w:eastAsia="仿宋_GB2312" w:cs="仿宋_GB2312"/>
          <w:color w:val="000000"/>
          <w:sz w:val="32"/>
          <w:szCs w:val="32"/>
        </w:rPr>
        <w:t>政府采购预算安排</w:t>
      </w:r>
      <w:r>
        <w:rPr>
          <w:rFonts w:hint="eastAsia" w:ascii="仿宋_GB2312" w:hAnsi="仿宋_GB2312" w:eastAsia="仿宋_GB2312" w:cs="仿宋_GB2312"/>
          <w:color w:val="000000"/>
          <w:sz w:val="32"/>
          <w:szCs w:val="32"/>
          <w:lang w:val="en-US" w:eastAsia="zh-CN"/>
        </w:rPr>
        <w:t>。</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lang w:val="en-US" w:eastAsia="zh-CN"/>
        </w:rPr>
        <w:t xml:space="preserve">   </w:t>
      </w:r>
      <w:r>
        <w:rPr>
          <w:rFonts w:hint="eastAsia" w:ascii="楷体" w:hAnsi="楷体" w:eastAsia="楷体" w:cs="楷体"/>
          <w:b w:val="0"/>
          <w:bCs/>
          <w:color w:val="000000"/>
          <w:kern w:val="0"/>
          <w:sz w:val="32"/>
          <w:szCs w:val="32"/>
        </w:rPr>
        <w:t>（三）关于预算绩效管理工作开展情况说明</w:t>
      </w:r>
    </w:p>
    <w:p>
      <w:pPr>
        <w:numPr>
          <w:numId w:val="0"/>
        </w:num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2017年，我单位未开展绩效评价。2018年，我单位部门预算纳入绩效管理的支出总额为   283.38万元，其中人员经费支出193.43万元，公用经费支出21万元，支出项目共4个，支出总额68.95万元.</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lang w:val="en-US" w:eastAsia="zh-CN"/>
        </w:rPr>
        <w:t xml:space="preserve">   </w:t>
      </w:r>
      <w:r>
        <w:rPr>
          <w:rFonts w:hint="eastAsia" w:ascii="楷体" w:hAnsi="楷体" w:eastAsia="楷体" w:cs="楷体"/>
          <w:b w:val="0"/>
          <w:bCs/>
          <w:color w:val="000000"/>
          <w:kern w:val="0"/>
          <w:sz w:val="32"/>
          <w:szCs w:val="32"/>
        </w:rPr>
        <w:t>（四）国有资产占用情况</w:t>
      </w:r>
    </w:p>
    <w:p>
      <w:pPr>
        <w:pStyle w:val="3"/>
        <w:spacing w:line="600" w:lineRule="atLeast"/>
        <w:ind w:firstLine="640"/>
        <w:rPr>
          <w:rFonts w:hint="eastAsia" w:ascii="仿宋_GB2312" w:hAnsi="仿宋_GB2312" w:eastAsia="仿宋_GB2312" w:cs="仿宋_GB2312"/>
          <w:color w:val="000000"/>
          <w:sz w:val="32"/>
          <w:szCs w:val="32"/>
          <w:lang w:val="en-US" w:eastAsia="zh-CN"/>
        </w:rPr>
      </w:pPr>
      <w:r>
        <w:rPr>
          <w:rFonts w:hint="eastAsia" w:ascii="仿宋_GB2312" w:eastAsia="仿宋_GB2312"/>
          <w:color w:val="000000"/>
          <w:sz w:val="32"/>
          <w:szCs w:val="32"/>
        </w:rPr>
        <w:t>2017年期末，温县审计局固定资产总额62.842142万元，其中，房屋建筑物0万元，车辆17.1万元。共有车辆1辆，其中：一般公务用车1辆，执法执勤车0辆；单价50万元以上通用设备0台（套），单位价值100万元以上专用设备0台（套）。</w:t>
      </w:r>
    </w:p>
    <w:p>
      <w:pPr>
        <w:kinsoku w:val="0"/>
        <w:wordWrap/>
        <w:overflowPunct w:val="0"/>
        <w:autoSpaceDE w:val="0"/>
        <w:autoSpaceDN w:val="0"/>
        <w:adjustRightInd w:val="0"/>
        <w:snapToGrid w:val="0"/>
        <w:spacing w:before="0" w:after="0" w:line="600" w:lineRule="exact"/>
        <w:ind w:left="0" w:leftChars="0" w:firstLine="643" w:firstLineChars="200"/>
        <w:textAlignment w:val="auto"/>
        <w:rPr>
          <w:rFonts w:hint="eastAsia" w:ascii="仿宋_GB2312" w:hAnsi="仿宋_GB2312" w:eastAsia="仿宋_GB2312" w:cs="仿宋_GB2312"/>
          <w:b/>
          <w:color w:val="000000"/>
          <w:kern w:val="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一、财政拨款收入：是指</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、“三公”经费：是指纳入</w:t>
      </w:r>
      <w:r>
        <w:rPr>
          <w:rFonts w:hint="eastAsia" w:ascii="仿宋_GB2312" w:hAnsi="仿宋_GB2312" w:eastAsia="仿宋_GB2312" w:cs="仿宋_GB2312"/>
          <w:color w:val="000000"/>
          <w:sz w:val="32"/>
          <w:szCs w:val="32"/>
          <w:lang w:eastAsia="zh-CN"/>
        </w:rPr>
        <w:t>县级</w:t>
      </w:r>
      <w:r>
        <w:rPr>
          <w:rFonts w:hint="eastAsia" w:ascii="仿宋_GB2312" w:hAnsi="仿宋_GB2312" w:eastAsia="仿宋_GB2312" w:cs="仿宋_GB2312"/>
          <w:color w:val="000000"/>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宋体" w:eastAsia="仿宋_GB2312" w:cs="Courier New"/>
          <w:color w:val="000000"/>
          <w:sz w:val="32"/>
          <w:szCs w:val="32"/>
          <w:lang w:eastAsia="zh-CN"/>
        </w:rPr>
        <w:t>七</w:t>
      </w:r>
      <w:r>
        <w:rPr>
          <w:rFonts w:hint="eastAsia" w:ascii="仿宋_GB2312" w:hAnsi="宋体" w:eastAsia="仿宋_GB2312" w:cs="Courier New"/>
          <w:color w:val="000000"/>
          <w:sz w:val="32"/>
          <w:szCs w:val="32"/>
        </w:rPr>
        <w:t>、</w:t>
      </w:r>
      <w:r>
        <w:rPr>
          <w:rFonts w:hint="eastAsia" w:ascii="仿宋_GB2312" w:hAnsi="宋体" w:eastAsia="仿宋_GB2312" w:cs="Courier New"/>
          <w:color w:val="000000"/>
          <w:sz w:val="32"/>
          <w:szCs w:val="32"/>
          <w:lang w:eastAsia="zh-CN"/>
        </w:rPr>
        <w:t>机关运行经费</w:t>
      </w:r>
      <w:r>
        <w:rPr>
          <w:rFonts w:hint="eastAsia" w:ascii="仿宋_GB2312" w:hAnsi="宋体" w:eastAsia="仿宋_GB2312" w:cs="Courier New"/>
          <w:color w:val="000000"/>
          <w:sz w:val="32"/>
          <w:szCs w:val="32"/>
        </w:rPr>
        <w:t>：是指为保障行政</w:t>
      </w:r>
      <w:r>
        <w:rPr>
          <w:rFonts w:hint="eastAsia" w:ascii="仿宋_GB2312" w:hAnsi="仿宋_GB2312" w:eastAsia="仿宋_GB2312" w:cs="仿宋_GB2312"/>
          <w:color w:val="000000"/>
          <w:sz w:val="32"/>
          <w:szCs w:val="32"/>
        </w:rPr>
        <w:t>机构正常运转及正常履职需要的办公费、水电费、</w:t>
      </w:r>
      <w:r>
        <w:rPr>
          <w:rFonts w:hint="eastAsia" w:ascii="仿宋_GB2312" w:hAnsi="仿宋_GB2312" w:eastAsia="仿宋_GB2312" w:cs="仿宋_GB2312"/>
          <w:color w:val="000000"/>
          <w:sz w:val="32"/>
          <w:szCs w:val="32"/>
          <w:lang w:eastAsia="zh-CN"/>
        </w:rPr>
        <w:t>日常维修、</w:t>
      </w:r>
      <w:r>
        <w:rPr>
          <w:rFonts w:hint="eastAsia" w:ascii="仿宋_GB2312" w:hAnsi="仿宋_GB2312" w:eastAsia="仿宋_GB2312" w:cs="仿宋_GB2312"/>
          <w:color w:val="000000"/>
          <w:sz w:val="32"/>
          <w:szCs w:val="32"/>
        </w:rPr>
        <w:t>物业费、维修费、差旅费</w:t>
      </w:r>
      <w:r>
        <w:rPr>
          <w:rFonts w:hint="eastAsia" w:ascii="仿宋_GB2312" w:hAnsi="仿宋_GB2312" w:eastAsia="仿宋_GB2312" w:cs="仿宋_GB2312"/>
          <w:color w:val="000000"/>
          <w:sz w:val="32"/>
          <w:szCs w:val="32"/>
          <w:lang w:eastAsia="zh-CN"/>
        </w:rPr>
        <w:t>、</w:t>
      </w:r>
      <w:r>
        <w:rPr>
          <w:rFonts w:hint="eastAsia" w:ascii="仿宋_GB2312" w:hAnsi="宋体" w:eastAsia="仿宋_GB2312" w:cs="Courier New"/>
          <w:color w:val="000000"/>
          <w:sz w:val="32"/>
          <w:szCs w:val="32"/>
        </w:rPr>
        <w:t>公务用车运行维护费以及其他费用</w:t>
      </w:r>
      <w:r>
        <w:rPr>
          <w:rFonts w:hint="eastAsia" w:ascii="仿宋_GB2312" w:hAnsi="仿宋_GB2312" w:eastAsia="仿宋_GB2312" w:cs="仿宋_GB2312"/>
          <w:color w:val="000000"/>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宋体" w:eastAsia="仿宋_GB2312" w:cs="Courier New"/>
          <w:color w:val="000000"/>
          <w:sz w:val="32"/>
          <w:szCs w:val="32"/>
          <w:lang w:eastAsia="zh-CN"/>
        </w:rPr>
      </w:pPr>
      <w:r>
        <w:rPr>
          <w:rFonts w:hint="eastAsia" w:ascii="仿宋_GB2312" w:hAnsi="宋体" w:eastAsia="仿宋_GB2312" w:cs="Courier New"/>
          <w:color w:val="000000"/>
          <w:sz w:val="32"/>
          <w:szCs w:val="32"/>
          <w:lang w:val="en-US" w:eastAsia="zh-CN"/>
        </w:rPr>
        <w:t>八、</w:t>
      </w:r>
      <w:r>
        <w:rPr>
          <w:rFonts w:hint="default" w:ascii="仿宋_GB2312" w:hAnsi="宋体" w:eastAsia="仿宋_GB2312" w:cs="Courier New"/>
          <w:color w:val="000000"/>
          <w:sz w:val="32"/>
          <w:szCs w:val="32"/>
          <w:lang w:eastAsia="zh-CN"/>
        </w:rPr>
        <w:t>审计监督</w:t>
      </w:r>
      <w:r>
        <w:rPr>
          <w:rFonts w:hint="eastAsia" w:ascii="仿宋_GB2312" w:hAnsi="宋体" w:eastAsia="仿宋_GB2312" w:cs="Courier New"/>
          <w:color w:val="000000"/>
          <w:sz w:val="32"/>
          <w:szCs w:val="32"/>
          <w:lang w:eastAsia="zh-CN"/>
        </w:rPr>
        <w:t>：</w:t>
      </w:r>
      <w:r>
        <w:rPr>
          <w:rFonts w:hint="default" w:ascii="仿宋_GB2312" w:hAnsi="宋体" w:eastAsia="仿宋_GB2312" w:cs="Courier New"/>
          <w:color w:val="000000"/>
          <w:sz w:val="32"/>
          <w:szCs w:val="32"/>
          <w:lang w:eastAsia="zh-CN"/>
        </w:rPr>
        <w:t>指在国家行政组织内部设立专门机构依法审核检查国家行政机关及企事业单位的财政财务收支活动、经济效益和遵纪守法情况。</w:t>
      </w:r>
      <w:r>
        <w:rPr>
          <w:rFonts w:hint="eastAsia" w:ascii="仿宋_GB2312" w:hAnsi="宋体" w:eastAsia="仿宋_GB2312" w:cs="Courier New"/>
          <w:color w:val="000000"/>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color w:val="000000"/>
          <w:sz w:val="32"/>
          <w:szCs w:val="32"/>
        </w:rPr>
      </w:pPr>
    </w:p>
    <w:p>
      <w:pPr>
        <w:wordWrap/>
        <w:adjustRightInd w:val="0"/>
        <w:snapToGrid w:val="0"/>
        <w:spacing w:before="0" w:after="0" w:line="600" w:lineRule="exact"/>
        <w:ind w:left="0" w:lef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温县审计局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color w:val="000000"/>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inherit">
    <w:altName w:val="Arial Unicode MS"/>
    <w:panose1 w:val="00000000000000000000"/>
    <w:charset w:val="01"/>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Arial Unicode MS">
    <w:panose1 w:val="020B0604020202020204"/>
    <w:charset w:val="86"/>
    <w:family w:val="auto"/>
    <w:pitch w:val="default"/>
    <w:sig w:usb0="FFFFFFFF" w:usb1="E9FFFFFF" w:usb2="0000003F" w:usb3="00000000" w:csb0="603F01FF" w:csb1="FFFF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0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ÂËÎ Western">
    <w:altName w:val="仿宋"/>
    <w:panose1 w:val="00000000000000000000"/>
    <w:charset w:val="00"/>
    <w:family w:val="auto"/>
    <w:pitch w:val="default"/>
    <w:sig w:usb0="00000000" w:usb1="00000000" w:usb2="00000000" w:usb3="00000000" w:csb0="00000001" w:csb1="00000000"/>
  </w:font>
  <w:font w:name="DengXian Light Western">
    <w:altName w:val="Segoe Print"/>
    <w:panose1 w:val="00000000000000000000"/>
    <w:charset w:val="00"/>
    <w:family w:val="auto"/>
    <w:pitch w:val="default"/>
    <w:sig w:usb0="00000000" w:usb1="00000000" w:usb2="00000000" w:usb3="00000000" w:csb0="00000001" w:csb1="00000000"/>
  </w:font>
  <w:font w:name="DengXian Light CE">
    <w:altName w:val="Segoe Print"/>
    <w:panose1 w:val="00000000000000000000"/>
    <w:charset w:val="EE"/>
    <w:family w:val="auto"/>
    <w:pitch w:val="default"/>
    <w:sig w:usb0="00000000" w:usb1="00000000" w:usb2="00000000" w:usb3="00000000" w:csb0="00000002" w:csb1="00000000"/>
  </w:font>
  <w:font w:name="DengXian Light Cyr">
    <w:altName w:val="MingLiU"/>
    <w:panose1 w:val="00000000000000000000"/>
    <w:charset w:val="CC"/>
    <w:family w:val="auto"/>
    <w:pitch w:val="default"/>
    <w:sig w:usb0="00000000" w:usb1="00000000" w:usb2="00000000" w:usb3="00000000" w:csb0="00000004" w:csb1="00000000"/>
  </w:font>
  <w:font w:name="DengXian Light Greek">
    <w:altName w:val="MingLiU"/>
    <w:panose1 w:val="00000000000000000000"/>
    <w:charset w:val="A1"/>
    <w:family w:val="auto"/>
    <w:pitch w:val="default"/>
    <w:sig w:usb0="00000000" w:usb1="00000000" w:usb2="00000000" w:usb3="00000000" w:csb0="00000008" w:csb1="00000000"/>
  </w:font>
  <w:font w:name="DengXian Western">
    <w:altName w:val="Segoe Print"/>
    <w:panose1 w:val="00000000000000000000"/>
    <w:charset w:val="00"/>
    <w:family w:val="auto"/>
    <w:pitch w:val="default"/>
    <w:sig w:usb0="00000000" w:usb1="00000000" w:usb2="00000000" w:usb3="00000000" w:csb0="00000001" w:csb1="00000000"/>
  </w:font>
  <w:font w:name="DengXian CE">
    <w:altName w:val="Segoe Print"/>
    <w:panose1 w:val="00000000000000000000"/>
    <w:charset w:val="EE"/>
    <w:family w:val="auto"/>
    <w:pitch w:val="default"/>
    <w:sig w:usb0="00000000" w:usb1="00000000" w:usb2="00000000" w:usb3="00000000" w:csb0="00000002" w:csb1="00000000"/>
  </w:font>
  <w:font w:name="DengXian Cyr">
    <w:altName w:val="MingLiU"/>
    <w:panose1 w:val="00000000000000000000"/>
    <w:charset w:val="CC"/>
    <w:family w:val="auto"/>
    <w:pitch w:val="default"/>
    <w:sig w:usb0="00000000" w:usb1="00000000" w:usb2="00000000" w:usb3="00000000" w:csb0="00000004" w:csb1="00000000"/>
  </w:font>
  <w:font w:name="DengXian Greek">
    <w:altName w:val="MingLiU"/>
    <w:panose1 w:val="00000000000000000000"/>
    <w:charset w:val="A1"/>
    <w:family w:val="auto"/>
    <w:pitch w:val="default"/>
    <w:sig w:usb0="00000000" w:usb1="00000000" w:usb2="00000000" w:usb3="00000000" w:csb0="00000008" w:csb1="00000000"/>
  </w:font>
  <w:font w:name="Cambria">
    <w:panose1 w:val="02040503050406030204"/>
    <w:charset w:val="00"/>
    <w:family w:val="auto"/>
    <w:pitch w:val="default"/>
    <w:sig w:usb0="E00002FF" w:usb1="400004FF" w:usb2="00000000" w:usb3="00000000" w:csb0="2000019F" w:csb1="00000000"/>
  </w:font>
  <w:font w:name="HakusyuGyosyoPro_kk">
    <w:altName w:val="MS UI Gothic"/>
    <w:panose1 w:val="02000609000000000000"/>
    <w:charset w:val="80"/>
    <w:family w:val="auto"/>
    <w:pitch w:val="default"/>
    <w:sig w:usb0="A00002BF" w:usb1="68C7FCFB" w:usb2="00000010" w:usb3="00000000" w:csb0="4002009F" w:csb1="DFD70000"/>
  </w:font>
  <w:font w:name="CourierPS">
    <w:altName w:val="Segoe Print"/>
    <w:panose1 w:val="02070609020205020404"/>
    <w:charset w:val="00"/>
    <w:family w:val="auto"/>
    <w:pitch w:val="default"/>
    <w:sig w:usb0="00000000" w:usb1="00000000" w:usb2="00000000" w:usb3="00000000" w:csb0="00000093" w:csb1="00000000"/>
  </w:font>
  <w:font w:name="MingLiU">
    <w:panose1 w:val="02020509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7907436">
    <w:nsid w:val="5A796DEC"/>
    <w:multiLevelType w:val="singleLevel"/>
    <w:tmpl w:val="5A796DEC"/>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abstractNum w:abstractNumId="1521797403">
    <w:nsid w:val="5AB4C91B"/>
    <w:multiLevelType w:val="singleLevel"/>
    <w:tmpl w:val="5AB4C91B"/>
    <w:lvl w:ilvl="0" w:tentative="1">
      <w:start w:val="2"/>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num w:numId="1">
    <w:abstractNumId w:val="1517907436"/>
  </w:num>
  <w:num w:numId="2">
    <w:abstractNumId w:val="1520564614"/>
  </w:num>
  <w:num w:numId="3">
    <w:abstractNumId w:val="1515138474"/>
  </w:num>
  <w:num w:numId="4">
    <w:abstractNumId w:val="15217974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paragraph" w:customStyle="1" w:styleId="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崔龙</cp:lastModifiedBy>
  <cp:lastPrinted>2018-03-09T07:54:00Z</cp:lastPrinted>
  <dcterms:modified xsi:type="dcterms:W3CDTF">2019-03-17T08:06:36Z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