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温县司法局单位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温县司法局单位</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Autospacing="0" w:afterAutospacing="0" w:line="580" w:lineRule="exact"/>
        <w:ind w:left="0" w:leftChars="0" w:right="3569"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温县司法局设7个内设机构，11个派出机构。（一）办公室（挂依法治县领导小组办公室牌子）。(二）社区矫正管理科（社区矫正执法监察大队）。（三）公证律师科。（四）基层工作科。（五）法律援助办公室。（六）政工科。（七）宣传教育科。11个派出机构：温泉司法所、黄河司法所、岳村司法所、祥云镇司法所、招贤司法所、番田司法所、黄庄司法所、北冷司法所、武德镇司法所、赵堡司法所、南张羌司法所。 </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（二）部门职责</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1.贯彻落实中央、省、市有关司法行政工作的方针、政策，拟订全县司法行政工作的规范性文件和指导性意见，制定全县司法行政工作的发展规划并组织实施。</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2.拟订全县法制宣传教育和依法治理工作规划并组织实施，指导各乡镇、全县各行业的法制宣传教育工作。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3.监督指导全县律师工作和公证工作。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4.指导管理、组织实施社区矫正工作。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5.指导管理全县的人民调解、基层法律服务、刑满释放人员安置帮教工作。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6.监督管理本县面向社会服务的司法鉴定工作。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7.监督、指导、管理全县法律援助工作。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8.指导、管理全县司法行政队伍建设和思想作风、工作作风建设及干部培训工作，负责局机关、直属单位的组织、人事工作。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9.参与社会治安综合治理工作。</w:t>
      </w:r>
    </w:p>
    <w:p>
      <w:pPr>
        <w:pStyle w:val="2"/>
        <w:widowControl/>
        <w:wordWrap/>
        <w:adjustRightInd/>
        <w:snapToGrid/>
        <w:spacing w:before="0" w:beforeAutospacing="0" w:after="0" w:afterAutospacing="0" w:line="580" w:lineRule="exact"/>
        <w:ind w:left="0" w:leftChars="0"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10.承办县政府交办的其他事项。</w:t>
      </w:r>
    </w:p>
    <w:p>
      <w:pPr>
        <w:numPr>
          <w:numId w:val="0"/>
        </w:numPr>
        <w:wordWrap/>
        <w:adjustRightInd w:val="0"/>
        <w:snapToGrid w:val="0"/>
        <w:spacing w:before="0" w:after="0" w:line="600" w:lineRule="exact"/>
        <w:ind w:left="0" w:leftChars="0" w:firstLine="640" w:firstLineChars="200"/>
        <w:jc w:val="left"/>
        <w:textAlignment w:val="auto"/>
        <w:outlineLvl w:val="0"/>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二、部门预算单位构成</w:t>
      </w:r>
    </w:p>
    <w:p>
      <w:pPr>
        <w:widowControl w:val="0"/>
        <w:numPr>
          <w:numId w:val="0"/>
        </w:numPr>
        <w:wordWrap/>
        <w:adjustRightInd/>
        <w:snapToGrid/>
        <w:spacing w:before="0" w:after="0" w:line="592" w:lineRule="atLeast"/>
        <w:ind w:left="0" w:leftChars="0" w:right="0" w:firstLine="636" w:firstLineChars="199"/>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我单位有二级机构2个，本预算为汇总预算，纳入我单位2018年部门预算编报范围的预算单位有：</w:t>
      </w:r>
    </w:p>
    <w:p>
      <w:pPr>
        <w:widowControl w:val="0"/>
        <w:numPr>
          <w:ilvl w:val="0"/>
          <w:numId w:val="3"/>
        </w:numPr>
        <w:wordWrap/>
        <w:adjustRightInd/>
        <w:snapToGrid/>
        <w:spacing w:before="0" w:after="0" w:line="592" w:lineRule="atLeast"/>
        <w:ind w:leftChars="200" w:right="0" w:firstLine="640" w:firstLineChars="20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温县法律援助中心</w:t>
      </w:r>
    </w:p>
    <w:p>
      <w:pPr>
        <w:widowControl w:val="0"/>
        <w:numPr>
          <w:ilvl w:val="0"/>
          <w:numId w:val="3"/>
        </w:numPr>
        <w:wordWrap/>
        <w:adjustRightInd/>
        <w:snapToGrid/>
        <w:spacing w:before="0" w:after="0" w:line="592" w:lineRule="atLeast"/>
        <w:ind w:leftChars="200" w:right="0" w:firstLine="640" w:firstLineChars="20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温县公证处</w:t>
      </w:r>
    </w:p>
    <w:p>
      <w:pPr>
        <w:widowControl w:val="0"/>
        <w:numPr>
          <w:numId w:val="0"/>
        </w:numPr>
        <w:wordWrap/>
        <w:adjustRightInd/>
        <w:snapToGrid/>
        <w:spacing w:before="0" w:after="0" w:line="592" w:lineRule="atLeast"/>
        <w:ind w:leftChars="200" w:right="0" w:firstLine="640" w:firstLineChars="200"/>
        <w:jc w:val="both"/>
        <w:textAlignment w:val="bottom"/>
        <w:outlineLvl w:val="9"/>
        <w:rPr>
          <w:rFonts w:hint="eastAsia" w:ascii="仿宋" w:hAnsi="仿宋" w:eastAsia="仿宋" w:cs="仿宋"/>
          <w:b w:val="0"/>
          <w:bCs w:val="0"/>
          <w:color w:val="000000"/>
          <w:sz w:val="32"/>
          <w:szCs w:val="32"/>
          <w:lang w:val="en-US" w:eastAsia="zh-CN"/>
        </w:rPr>
      </w:pP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温县司法局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671.91</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671.91</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271.76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67.91%</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公用经费标准提高，社区矫正经费等项目经费增加。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温县司法局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671.91</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671.91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473.91万元，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48万元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温县司法局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671.91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373.51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298.4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w:t>
      </w:r>
    </w:p>
    <w:p>
      <w:pPr>
        <w:pStyle w:val="4"/>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4"/>
        <w:spacing w:line="600" w:lineRule="atLeast"/>
        <w:ind w:firstLine="640"/>
        <w:rPr>
          <w:rFonts w:hint="eastAsia" w:ascii="仿宋_GB2312" w:eastAsia="仿宋_GB2312"/>
          <w:sz w:val="32"/>
          <w:szCs w:val="32"/>
        </w:rPr>
      </w:pPr>
      <w:r>
        <w:rPr>
          <w:rFonts w:hint="eastAsia" w:ascii="仿宋_GB2312" w:eastAsia="仿宋_GB2312"/>
          <w:sz w:val="32"/>
          <w:szCs w:val="32"/>
          <w:lang w:val="en-US" w:eastAsia="zh-CN"/>
        </w:rPr>
        <w:t>温县司法局</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671.91</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271.76</w:t>
      </w:r>
      <w:r>
        <w:rPr>
          <w:rFonts w:hint="eastAsia" w:ascii="仿宋_GB2312" w:eastAsia="仿宋_GB2312"/>
          <w:sz w:val="32"/>
          <w:szCs w:val="32"/>
        </w:rPr>
        <w:t>万元，增长</w:t>
      </w:r>
      <w:r>
        <w:rPr>
          <w:rFonts w:hint="eastAsia" w:ascii="仿宋_GB2312" w:eastAsia="仿宋_GB2312"/>
          <w:sz w:val="32"/>
          <w:szCs w:val="32"/>
          <w:lang w:val="en-US" w:eastAsia="zh-CN"/>
        </w:rPr>
        <w:t>67.91</w:t>
      </w:r>
      <w:bookmarkStart w:id="0" w:name="_GoBack"/>
      <w:bookmarkEnd w:id="0"/>
      <w:r>
        <w:rPr>
          <w:rFonts w:hint="eastAsia" w:ascii="仿宋_GB2312" w:eastAsia="仿宋_GB2312"/>
          <w:sz w:val="32"/>
          <w:szCs w:val="32"/>
        </w:rPr>
        <w:t>%，主要原因：</w:t>
      </w:r>
      <w:r>
        <w:rPr>
          <w:rFonts w:hint="eastAsia" w:ascii="仿宋_GB2312" w:eastAsia="仿宋_GB2312"/>
          <w:sz w:val="32"/>
          <w:szCs w:val="32"/>
          <w:lang w:val="en-US" w:eastAsia="zh-CN"/>
        </w:rPr>
        <w:t>公用经费标准提高，社区矫正经费等项目经费增加</w:t>
      </w:r>
      <w:r>
        <w:rPr>
          <w:rFonts w:hint="eastAsia" w:ascii="仿宋_GB2312" w:eastAsia="仿宋_GB2312"/>
          <w:sz w:val="32"/>
          <w:szCs w:val="32"/>
        </w:rPr>
        <w:t>；政府性基金收支增加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,与2017年保持一致，无变化</w:t>
      </w:r>
      <w:r>
        <w:rPr>
          <w:rFonts w:hint="eastAsia" w:ascii="仿宋_GB2312" w:eastAsia="仿宋_GB2312"/>
          <w:sz w:val="32"/>
          <w:szCs w:val="32"/>
        </w:rPr>
        <w:t>。</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4"/>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val="en-US" w:eastAsia="zh-CN"/>
        </w:rPr>
        <w:t>温县司法局</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671.91</w:t>
      </w:r>
      <w:r>
        <w:rPr>
          <w:rFonts w:hint="eastAsia" w:ascii="仿宋_GB2312" w:eastAsia="仿宋_GB2312"/>
          <w:sz w:val="32"/>
          <w:szCs w:val="32"/>
        </w:rPr>
        <w:t>万元。主要用于以下方面：</w:t>
      </w:r>
      <w:r>
        <w:rPr>
          <w:rFonts w:hint="eastAsia" w:ascii="仿宋_GB2312" w:eastAsia="仿宋_GB2312"/>
          <w:sz w:val="32"/>
          <w:szCs w:val="32"/>
          <w:lang w:val="en-US" w:eastAsia="zh-CN"/>
        </w:rPr>
        <w:t>公共安全</w:t>
      </w:r>
      <w:r>
        <w:rPr>
          <w:rFonts w:hint="eastAsia" w:ascii="仿宋_GB2312" w:eastAsia="仿宋_GB2312"/>
          <w:sz w:val="32"/>
          <w:szCs w:val="32"/>
        </w:rPr>
        <w:t>支出</w:t>
      </w:r>
      <w:r>
        <w:rPr>
          <w:rFonts w:hint="eastAsia" w:ascii="仿宋_GB2312" w:eastAsia="仿宋_GB2312"/>
          <w:sz w:val="32"/>
          <w:szCs w:val="32"/>
          <w:lang w:val="en-US" w:eastAsia="zh-CN"/>
        </w:rPr>
        <w:t>629.55</w:t>
      </w:r>
      <w:r>
        <w:rPr>
          <w:rFonts w:hint="eastAsia" w:ascii="仿宋_GB2312" w:eastAsia="仿宋_GB2312"/>
          <w:sz w:val="32"/>
          <w:szCs w:val="32"/>
        </w:rPr>
        <w:t>万元，占</w:t>
      </w:r>
      <w:r>
        <w:rPr>
          <w:rFonts w:hint="eastAsia" w:ascii="仿宋_GB2312" w:eastAsia="仿宋_GB2312"/>
          <w:sz w:val="32"/>
          <w:szCs w:val="32"/>
          <w:lang w:val="en-US" w:eastAsia="zh-CN"/>
        </w:rPr>
        <w:t>93.7</w:t>
      </w:r>
      <w:r>
        <w:rPr>
          <w:rFonts w:hint="eastAsia" w:ascii="仿宋_GB2312" w:eastAsia="仿宋_GB2312"/>
          <w:sz w:val="32"/>
          <w:szCs w:val="32"/>
        </w:rPr>
        <w:t>%；社会保障和就业支出</w:t>
      </w:r>
      <w:r>
        <w:rPr>
          <w:rFonts w:hint="eastAsia" w:ascii="仿宋_GB2312" w:eastAsia="仿宋_GB2312"/>
          <w:sz w:val="32"/>
          <w:szCs w:val="32"/>
          <w:lang w:val="en-US" w:eastAsia="zh-CN"/>
        </w:rPr>
        <w:t>31.24</w:t>
      </w:r>
      <w:r>
        <w:rPr>
          <w:rFonts w:hint="eastAsia" w:ascii="仿宋_GB2312" w:eastAsia="仿宋_GB2312"/>
          <w:sz w:val="32"/>
          <w:szCs w:val="32"/>
        </w:rPr>
        <w:t>万元，占</w:t>
      </w:r>
      <w:r>
        <w:rPr>
          <w:rFonts w:hint="eastAsia" w:ascii="仿宋_GB2312" w:eastAsia="仿宋_GB2312"/>
          <w:sz w:val="32"/>
          <w:szCs w:val="32"/>
          <w:lang w:val="en-US" w:eastAsia="zh-CN"/>
        </w:rPr>
        <w:t>4.65</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11.12</w:t>
      </w:r>
      <w:r>
        <w:rPr>
          <w:rFonts w:hint="eastAsia" w:ascii="仿宋_GB2312" w:eastAsia="仿宋_GB2312"/>
          <w:sz w:val="32"/>
          <w:szCs w:val="32"/>
        </w:rPr>
        <w:t>万元，占</w:t>
      </w:r>
      <w:r>
        <w:rPr>
          <w:rFonts w:hint="eastAsia" w:ascii="仿宋_GB2312" w:eastAsia="仿宋_GB2312"/>
          <w:sz w:val="32"/>
          <w:szCs w:val="32"/>
          <w:lang w:val="en-US" w:eastAsia="zh-CN"/>
        </w:rPr>
        <w:t>1.65</w:t>
      </w:r>
      <w:r>
        <w:rPr>
          <w:rFonts w:hint="eastAsia" w:ascii="仿宋_GB2312" w:eastAsia="仿宋_GB2312"/>
          <w:sz w:val="32"/>
          <w:szCs w:val="32"/>
        </w:rPr>
        <w:t>%</w:t>
      </w:r>
      <w:r>
        <w:rPr>
          <w:rFonts w:hint="eastAsia" w:ascii="仿宋_GB2312" w:eastAsia="仿宋_GB2312"/>
          <w:sz w:val="32"/>
          <w:szCs w:val="32"/>
          <w:lang w:eastAsia="zh-CN"/>
        </w:rPr>
        <w:t>。</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4"/>
        <w:spacing w:line="600" w:lineRule="atLeas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温县司法局</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373.51</w:t>
      </w:r>
      <w:r>
        <w:rPr>
          <w:rFonts w:hint="eastAsia" w:ascii="仿宋_GB2312" w:eastAsia="仿宋_GB2312"/>
          <w:sz w:val="32"/>
          <w:szCs w:val="32"/>
        </w:rPr>
        <w:t>万元，其中：人员经费</w:t>
      </w:r>
      <w:r>
        <w:rPr>
          <w:rFonts w:hint="eastAsia" w:ascii="仿宋_GB2312" w:eastAsia="仿宋_GB2312"/>
          <w:sz w:val="32"/>
          <w:szCs w:val="32"/>
          <w:lang w:val="en-US" w:eastAsia="zh-CN"/>
        </w:rPr>
        <w:t>299.31</w:t>
      </w:r>
      <w:r>
        <w:rPr>
          <w:rFonts w:hint="eastAsia" w:ascii="仿宋_GB2312" w:eastAsia="仿宋_GB2312"/>
          <w:sz w:val="32"/>
          <w:szCs w:val="32"/>
        </w:rPr>
        <w:t>万元，基本工资、津贴补贴、绩效工资、机关事业单位基本养老保险缴费、医疗保险缴费、其他社会保障缴费、其他工资福利支出；公用经费</w:t>
      </w:r>
      <w:r>
        <w:rPr>
          <w:rFonts w:hint="eastAsia" w:ascii="仿宋_GB2312" w:eastAsia="仿宋_GB2312"/>
          <w:sz w:val="32"/>
          <w:szCs w:val="32"/>
          <w:lang w:val="en-US" w:eastAsia="zh-CN"/>
        </w:rPr>
        <w:t>74.2</w:t>
      </w:r>
      <w:r>
        <w:rPr>
          <w:rFonts w:hint="eastAsia" w:ascii="仿宋_GB2312" w:eastAsia="仿宋_GB2312"/>
          <w:sz w:val="32"/>
          <w:szCs w:val="32"/>
        </w:rPr>
        <w:t>万元，主要包括：办公费、印刷费、水费、电费、邮电费、差旅费、维修（护）费、会议费、培训费、公务接待费、公务用车运行维护费、其他交通费用、其他商品和服务支出</w:t>
      </w:r>
      <w:r>
        <w:rPr>
          <w:rFonts w:hint="eastAsia" w:ascii="仿宋_GB2312" w:eastAsia="仿宋_GB2312"/>
          <w:sz w:val="32"/>
          <w:szCs w:val="32"/>
          <w:lang w:val="en-US" w:eastAsia="zh-CN"/>
        </w:rPr>
        <w:t>.</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温县司法局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b/>
          <w:spacing w:val="-1"/>
          <w:kern w:val="0"/>
          <w:sz w:val="32"/>
          <w:szCs w:val="32"/>
          <w:lang w:val="en-US" w:eastAsia="zh-CN"/>
        </w:rPr>
        <w:t>0</w:t>
      </w:r>
      <w:r>
        <w:rPr>
          <w:rFonts w:hint="eastAsia" w:ascii="仿宋_GB2312" w:hAnsi="仿宋_GB2312" w:eastAsia="仿宋_GB2312" w:cs="仿宋_GB2312"/>
          <w:sz w:val="32"/>
          <w:szCs w:val="32"/>
          <w:lang w:val="en-US" w:eastAsia="zh-CN"/>
        </w:rPr>
        <w:t>万元，与2017年数一致，</w:t>
      </w:r>
      <w:r>
        <w:rPr>
          <w:rFonts w:hint="eastAsia" w:ascii="仿宋_GB2312" w:hAnsi="仿宋_GB2312" w:eastAsia="仿宋_GB2312" w:cs="仿宋_GB2312"/>
          <w:color w:val="000000"/>
          <w:sz w:val="32"/>
          <w:szCs w:val="32"/>
          <w:lang w:val="en-US" w:eastAsia="zh-CN"/>
        </w:rPr>
        <w:t>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0万元，与2017年相同，</w:t>
      </w:r>
      <w:r>
        <w:rPr>
          <w:rFonts w:hint="eastAsia" w:ascii="仿宋_GB2312" w:hAnsi="仿宋_GB2312" w:eastAsia="仿宋_GB2312" w:cs="仿宋_GB2312"/>
          <w:color w:val="000000"/>
          <w:sz w:val="32"/>
          <w:szCs w:val="32"/>
          <w:lang w:val="en-US" w:eastAsia="zh-CN"/>
        </w:rPr>
        <w:t>增长0%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3.5万元，主要用于单位公务用车、执法执勤用车的燃料费、维修费等支出</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与2017年相同，</w:t>
      </w:r>
      <w:r>
        <w:rPr>
          <w:rFonts w:hint="eastAsia" w:ascii="仿宋_GB2312" w:hAnsi="仿宋_GB2312" w:eastAsia="仿宋_GB2312" w:cs="仿宋_GB2312"/>
          <w:color w:val="000000"/>
          <w:sz w:val="32"/>
          <w:szCs w:val="32"/>
          <w:lang w:val="en-US" w:eastAsia="zh-CN"/>
        </w:rPr>
        <w:t>增长0%。</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0.54</w:t>
      </w:r>
      <w:r>
        <w:rPr>
          <w:rFonts w:hint="eastAsia" w:ascii="仿宋_GB2312" w:hAnsi="仿宋_GB2312" w:eastAsia="仿宋_GB2312" w:cs="仿宋_GB2312"/>
          <w:sz w:val="32"/>
          <w:szCs w:val="32"/>
        </w:rPr>
        <w:t>万元，主要用于上级领导督导视察、调研等活动接待支出。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比2017年增加0.2万元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上级检查、验收工作增加。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74.2</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 xml:space="preserve">购买电脑13台、触摸查询机2台、办公桌31张、办公椅62把等办公设备。                                </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color w:val="000000"/>
          <w:sz w:val="28"/>
          <w:szCs w:val="28"/>
          <w:lang w:val="en-US" w:eastAsia="zh-CN"/>
        </w:rPr>
        <w:t xml:space="preserve"> </w:t>
      </w:r>
      <w:r>
        <w:rPr>
          <w:rFonts w:hint="eastAsia" w:ascii="仿宋_GB2312" w:hAnsi="仿宋_GB2312" w:eastAsia="仿宋_GB2312" w:cs="仿宋_GB2312"/>
          <w:color w:val="000000"/>
          <w:sz w:val="32"/>
          <w:szCs w:val="32"/>
          <w:lang w:val="en-US" w:eastAsia="zh-CN"/>
        </w:rPr>
        <w:t>2017年，我单位未开展绩效评价。</w:t>
      </w:r>
      <w:r>
        <w:rPr>
          <w:rFonts w:hint="eastAsia" w:ascii="仿宋_GB2312" w:hAnsi="仿宋_GB2312" w:eastAsia="仿宋_GB2312" w:cs="仿宋_GB2312"/>
          <w:sz w:val="32"/>
          <w:szCs w:val="32"/>
          <w:lang w:val="en-US" w:eastAsia="zh-CN"/>
        </w:rPr>
        <w:t>2018年，我单位部门预算纳入绩效管理的支出总额为  671.91万元，其中人员经费支出299.31万元，公用经费支出74.2万元，支出项目共8个，支出总额298.4万元。</w:t>
      </w:r>
    </w:p>
    <w:p>
      <w:pPr>
        <w:pStyle w:val="4"/>
        <w:spacing w:line="600" w:lineRule="atLeast"/>
        <w:ind w:left="420"/>
        <w:rPr>
          <w:rFonts w:hint="eastAsia" w:ascii="楷体" w:hAnsi="楷体" w:eastAsia="楷体" w:cs="楷体"/>
          <w:b w:val="0"/>
          <w:bCs/>
          <w:kern w:val="0"/>
          <w:sz w:val="32"/>
          <w:szCs w:val="32"/>
          <w:lang w:val="en-US" w:eastAsia="zh-CN" w:bidi="ar-SA"/>
        </w:rPr>
      </w:pPr>
      <w:r>
        <w:rPr>
          <w:rFonts w:hint="eastAsia" w:ascii="楷体" w:hAnsi="楷体" w:eastAsia="楷体" w:cs="楷体"/>
          <w:b w:val="0"/>
          <w:bCs/>
          <w:kern w:val="0"/>
          <w:sz w:val="32"/>
          <w:szCs w:val="32"/>
          <w:lang w:val="en-US" w:eastAsia="zh-CN" w:bidi="ar-SA"/>
        </w:rPr>
        <w:t>（四）国有资产占用情况</w:t>
      </w:r>
    </w:p>
    <w:p>
      <w:pPr>
        <w:pStyle w:val="4"/>
        <w:spacing w:line="600" w:lineRule="atLeast"/>
        <w:rPr>
          <w:rFonts w:hint="eastAsia" w:ascii="仿宋_GB2312" w:hAnsi="仿宋_GB2312" w:eastAsia="仿宋_GB2312" w:cs="仿宋_GB2312"/>
          <w:b/>
          <w:kern w:val="0"/>
          <w:sz w:val="32"/>
          <w:szCs w:val="32"/>
        </w:rPr>
      </w:pPr>
      <w:r>
        <w:rPr>
          <w:rFonts w:hint="eastAsia" w:ascii="仿宋_GB2312" w:eastAsia="仿宋_GB2312"/>
          <w:sz w:val="32"/>
          <w:szCs w:val="32"/>
        </w:rPr>
        <w:t xml:space="preserve">    2017年期末，</w:t>
      </w:r>
      <w:r>
        <w:rPr>
          <w:rFonts w:hint="eastAsia" w:ascii="仿宋_GB2312" w:eastAsia="仿宋_GB2312"/>
          <w:sz w:val="32"/>
          <w:szCs w:val="32"/>
          <w:lang w:val="en-US" w:eastAsia="zh-CN"/>
        </w:rPr>
        <w:t>温县司法局</w:t>
      </w:r>
      <w:r>
        <w:rPr>
          <w:rFonts w:hint="eastAsia" w:ascii="仿宋_GB2312" w:eastAsia="仿宋_GB2312"/>
          <w:sz w:val="32"/>
          <w:szCs w:val="32"/>
        </w:rPr>
        <w:t>固定资产总额</w:t>
      </w:r>
      <w:r>
        <w:rPr>
          <w:rFonts w:hint="eastAsia" w:ascii="仿宋_GB2312" w:eastAsia="仿宋_GB2312"/>
          <w:sz w:val="32"/>
          <w:szCs w:val="32"/>
          <w:lang w:val="en-US" w:eastAsia="zh-CN"/>
        </w:rPr>
        <w:t>303.04</w:t>
      </w:r>
      <w:r>
        <w:rPr>
          <w:rFonts w:hint="eastAsia" w:ascii="仿宋_GB2312" w:eastAsia="仿宋_GB2312"/>
          <w:sz w:val="32"/>
          <w:szCs w:val="32"/>
        </w:rPr>
        <w:t>万元，其中，房屋建筑物</w:t>
      </w:r>
      <w:r>
        <w:rPr>
          <w:rFonts w:hint="eastAsia" w:ascii="仿宋_GB2312" w:eastAsia="仿宋_GB2312"/>
          <w:sz w:val="32"/>
          <w:szCs w:val="32"/>
          <w:lang w:val="en-US" w:eastAsia="zh-CN"/>
        </w:rPr>
        <w:t>62.2</w:t>
      </w:r>
      <w:r>
        <w:rPr>
          <w:rFonts w:hint="eastAsia" w:ascii="仿宋_GB2312" w:eastAsia="仿宋_GB2312"/>
          <w:sz w:val="32"/>
          <w:szCs w:val="32"/>
        </w:rPr>
        <w:t>万元，车辆</w:t>
      </w:r>
      <w:r>
        <w:rPr>
          <w:rFonts w:hint="eastAsia" w:ascii="仿宋_GB2312" w:eastAsia="仿宋_GB2312"/>
          <w:sz w:val="32"/>
          <w:szCs w:val="32"/>
          <w:lang w:val="en-US" w:eastAsia="zh-CN"/>
        </w:rPr>
        <w:t>23.17</w:t>
      </w:r>
      <w:r>
        <w:rPr>
          <w:rFonts w:hint="eastAsia" w:ascii="仿宋_GB2312" w:eastAsia="仿宋_GB2312"/>
          <w:sz w:val="32"/>
          <w:szCs w:val="32"/>
        </w:rPr>
        <w:t>万元。共有车辆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辆，执法执勤车</w:t>
      </w:r>
      <w:r>
        <w:rPr>
          <w:rFonts w:hint="eastAsia" w:ascii="仿宋_GB2312" w:eastAsia="仿宋_GB2312"/>
          <w:sz w:val="32"/>
          <w:szCs w:val="32"/>
          <w:lang w:val="en-US" w:eastAsia="zh-CN"/>
        </w:rPr>
        <w:t>2</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val="en-US" w:eastAsia="zh-CN"/>
        </w:rPr>
        <w:t>八、社区矫正：</w:t>
      </w:r>
      <w:r>
        <w:rPr>
          <w:rFonts w:hint="default" w:ascii="仿宋_GB2312" w:hAnsi="宋体" w:eastAsia="仿宋_GB2312" w:cs="Courier New"/>
          <w:sz w:val="32"/>
          <w:szCs w:val="32"/>
          <w:lang w:eastAsia="zh-CN"/>
        </w:rPr>
        <w:t>是指针对被判处</w:t>
      </w:r>
      <w:r>
        <w:rPr>
          <w:rFonts w:hint="default" w:ascii="仿宋_GB2312" w:hAnsi="宋体" w:eastAsia="仿宋_GB2312" w:cs="Courier New"/>
          <w:sz w:val="32"/>
          <w:szCs w:val="32"/>
          <w:lang w:eastAsia="zh-CN"/>
        </w:rPr>
        <w:fldChar w:fldCharType="begin"/>
      </w:r>
      <w:r>
        <w:rPr>
          <w:rFonts w:hint="default" w:ascii="仿宋_GB2312" w:hAnsi="宋体" w:eastAsia="仿宋_GB2312" w:cs="Courier New"/>
          <w:sz w:val="32"/>
          <w:szCs w:val="32"/>
          <w:lang w:eastAsia="zh-CN"/>
        </w:rPr>
        <w:instrText xml:space="preserve">HYPERLINK "https://baike.baidu.com/item/管制/40681"</w:instrText>
      </w:r>
      <w:r>
        <w:rPr>
          <w:rFonts w:hint="default" w:ascii="仿宋_GB2312" w:hAnsi="宋体" w:eastAsia="仿宋_GB2312" w:cs="Courier New"/>
          <w:sz w:val="32"/>
          <w:szCs w:val="32"/>
          <w:lang w:eastAsia="zh-CN"/>
        </w:rPr>
        <w:fldChar w:fldCharType="separate"/>
      </w:r>
      <w:r>
        <w:rPr>
          <w:rFonts w:hint="default" w:ascii="仿宋_GB2312" w:hAnsi="宋体" w:eastAsia="仿宋_GB2312" w:cs="Courier New"/>
          <w:sz w:val="32"/>
          <w:szCs w:val="32"/>
          <w:lang w:eastAsia="zh-CN"/>
        </w:rPr>
        <w:t>管制</w:t>
      </w:r>
      <w:r>
        <w:rPr>
          <w:rFonts w:hint="default" w:ascii="仿宋_GB2312" w:hAnsi="宋体" w:eastAsia="仿宋_GB2312" w:cs="Courier New"/>
          <w:sz w:val="32"/>
          <w:szCs w:val="32"/>
          <w:lang w:eastAsia="zh-CN"/>
        </w:rPr>
        <w:fldChar w:fldCharType="end"/>
      </w:r>
      <w:r>
        <w:rPr>
          <w:rFonts w:hint="default" w:ascii="仿宋_GB2312" w:hAnsi="宋体" w:eastAsia="仿宋_GB2312" w:cs="Courier New"/>
          <w:sz w:val="32"/>
          <w:szCs w:val="32"/>
          <w:lang w:eastAsia="zh-CN"/>
        </w:rPr>
        <w:t>、宣告</w:t>
      </w:r>
      <w:r>
        <w:rPr>
          <w:rFonts w:hint="default" w:ascii="仿宋_GB2312" w:hAnsi="宋体" w:eastAsia="仿宋_GB2312" w:cs="Courier New"/>
          <w:sz w:val="32"/>
          <w:szCs w:val="32"/>
          <w:lang w:eastAsia="zh-CN"/>
        </w:rPr>
        <w:fldChar w:fldCharType="begin"/>
      </w:r>
      <w:r>
        <w:rPr>
          <w:rFonts w:hint="default" w:ascii="仿宋_GB2312" w:hAnsi="宋体" w:eastAsia="仿宋_GB2312" w:cs="Courier New"/>
          <w:sz w:val="32"/>
          <w:szCs w:val="32"/>
          <w:lang w:eastAsia="zh-CN"/>
        </w:rPr>
        <w:instrText xml:space="preserve">HYPERLINK "https://baike.baidu.com/item/缓刑/1950878"</w:instrText>
      </w:r>
      <w:r>
        <w:rPr>
          <w:rFonts w:hint="default" w:ascii="仿宋_GB2312" w:hAnsi="宋体" w:eastAsia="仿宋_GB2312" w:cs="Courier New"/>
          <w:sz w:val="32"/>
          <w:szCs w:val="32"/>
          <w:lang w:eastAsia="zh-CN"/>
        </w:rPr>
        <w:fldChar w:fldCharType="separate"/>
      </w:r>
      <w:r>
        <w:rPr>
          <w:rFonts w:hint="default" w:ascii="仿宋_GB2312" w:hAnsi="宋体" w:eastAsia="仿宋_GB2312" w:cs="Courier New"/>
          <w:sz w:val="32"/>
          <w:szCs w:val="32"/>
          <w:lang w:eastAsia="zh-CN"/>
        </w:rPr>
        <w:t>缓刑</w:t>
      </w:r>
      <w:r>
        <w:rPr>
          <w:rFonts w:hint="default" w:ascii="仿宋_GB2312" w:hAnsi="宋体" w:eastAsia="仿宋_GB2312" w:cs="Courier New"/>
          <w:sz w:val="32"/>
          <w:szCs w:val="32"/>
          <w:lang w:eastAsia="zh-CN"/>
        </w:rPr>
        <w:fldChar w:fldCharType="end"/>
      </w:r>
      <w:r>
        <w:rPr>
          <w:rFonts w:hint="default" w:ascii="仿宋_GB2312" w:hAnsi="宋体" w:eastAsia="仿宋_GB2312" w:cs="Courier New"/>
          <w:sz w:val="32"/>
          <w:szCs w:val="32"/>
          <w:lang w:eastAsia="zh-CN"/>
        </w:rPr>
        <w:t>、裁定</w:t>
      </w:r>
      <w:r>
        <w:rPr>
          <w:rFonts w:hint="default" w:ascii="仿宋_GB2312" w:hAnsi="宋体" w:eastAsia="仿宋_GB2312" w:cs="Courier New"/>
          <w:sz w:val="32"/>
          <w:szCs w:val="32"/>
          <w:lang w:eastAsia="zh-CN"/>
        </w:rPr>
        <w:fldChar w:fldCharType="begin"/>
      </w:r>
      <w:r>
        <w:rPr>
          <w:rFonts w:hint="default" w:ascii="仿宋_GB2312" w:hAnsi="宋体" w:eastAsia="仿宋_GB2312" w:cs="Courier New"/>
          <w:sz w:val="32"/>
          <w:szCs w:val="32"/>
          <w:lang w:eastAsia="zh-CN"/>
        </w:rPr>
        <w:instrText xml:space="preserve">HYPERLINK "https://baike.baidu.com/item/假释/508072"</w:instrText>
      </w:r>
      <w:r>
        <w:rPr>
          <w:rFonts w:hint="default" w:ascii="仿宋_GB2312" w:hAnsi="宋体" w:eastAsia="仿宋_GB2312" w:cs="Courier New"/>
          <w:sz w:val="32"/>
          <w:szCs w:val="32"/>
          <w:lang w:eastAsia="zh-CN"/>
        </w:rPr>
        <w:fldChar w:fldCharType="separate"/>
      </w:r>
      <w:r>
        <w:rPr>
          <w:rFonts w:hint="default" w:ascii="仿宋_GB2312" w:hAnsi="宋体" w:eastAsia="仿宋_GB2312" w:cs="Courier New"/>
          <w:sz w:val="32"/>
          <w:szCs w:val="32"/>
          <w:lang w:eastAsia="zh-CN"/>
        </w:rPr>
        <w:t>假释</w:t>
      </w:r>
      <w:r>
        <w:rPr>
          <w:rFonts w:hint="default" w:ascii="仿宋_GB2312" w:hAnsi="宋体" w:eastAsia="仿宋_GB2312" w:cs="Courier New"/>
          <w:sz w:val="32"/>
          <w:szCs w:val="32"/>
          <w:lang w:eastAsia="zh-CN"/>
        </w:rPr>
        <w:fldChar w:fldCharType="end"/>
      </w:r>
      <w:r>
        <w:rPr>
          <w:rFonts w:hint="default" w:ascii="仿宋_GB2312" w:hAnsi="宋体" w:eastAsia="仿宋_GB2312" w:cs="Courier New"/>
          <w:sz w:val="32"/>
          <w:szCs w:val="32"/>
          <w:lang w:eastAsia="zh-CN"/>
        </w:rPr>
        <w:t>、暂予监外执行这四类犯罪行为较轻的对象所实施的非监禁性矫正刑罚</w:t>
      </w:r>
      <w:r>
        <w:rPr>
          <w:rFonts w:hint="eastAsia" w:ascii="仿宋_GB2312" w:hAnsi="宋体" w:eastAsia="仿宋_GB2312" w:cs="Courier New"/>
          <w:sz w:val="32"/>
          <w:szCs w:val="32"/>
          <w:lang w:val="en-US" w:eastAsia="zh-CN"/>
        </w:rPr>
        <w:t>。</w:t>
      </w: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温县司法局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41059479">
    <w:nsid w:val="5BDAB397"/>
    <w:multiLevelType w:val="singleLevel"/>
    <w:tmpl w:val="5BDAB397"/>
    <w:lvl w:ilvl="0" w:tentative="1">
      <w:start w:val="1"/>
      <w:numFmt w:val="decimal"/>
      <w:suff w:val="nothing"/>
      <w:lvlText w:val="%1、"/>
      <w:lvlJc w:val="left"/>
    </w:lvl>
  </w:abstractNum>
  <w:num w:numId="1">
    <w:abstractNumId w:val="1517907436"/>
  </w:num>
  <w:num w:numId="2">
    <w:abstractNumId w:val="1520564614"/>
  </w:num>
  <w:num w:numId="3">
    <w:abstractNumId w:val="1541059479"/>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2019-03-17T08:37:23Z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