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ascii="方正小标宋简体" w:hAnsi="方正小标宋简体" w:eastAsia="方正小标宋简体" w:cs="Times New Roman"/>
          <w:sz w:val="44"/>
          <w:szCs w:val="44"/>
        </w:rPr>
      </w:pPr>
      <w:r>
        <w:rPr>
          <w:rFonts w:ascii="方正小标宋简体" w:hAnsi="方正小标宋简体" w:eastAsia="方正小标宋简体" w:cs="方正小标宋简体"/>
          <w:sz w:val="44"/>
          <w:szCs w:val="44"/>
        </w:rPr>
        <w:t>2018</w:t>
      </w:r>
      <w:r>
        <w:rPr>
          <w:rFonts w:hint="eastAsia" w:ascii="方正小标宋简体" w:hAnsi="方正小标宋简体" w:eastAsia="方正小标宋简体" w:cs="方正小标宋简体"/>
          <w:sz w:val="44"/>
          <w:szCs w:val="44"/>
        </w:rPr>
        <w:t>年度体育局预算公开</w:t>
      </w:r>
    </w:p>
    <w:p>
      <w:pPr>
        <w:kinsoku w:val="0"/>
        <w:overflowPunct w:val="0"/>
        <w:adjustRightInd w:val="0"/>
        <w:snapToGrid w:val="0"/>
        <w:spacing w:line="360" w:lineRule="auto"/>
        <w:ind w:left="101" w:right="3569" w:firstLine="31680" w:firstLineChars="200"/>
        <w:rPr>
          <w:rFonts w:ascii="仿宋_GB2312" w:hAnsi="仿宋_GB2312" w:eastAsia="仿宋_GB2312" w:cs="Times New Roman"/>
          <w:sz w:val="32"/>
          <w:szCs w:val="32"/>
        </w:rPr>
      </w:pPr>
    </w:p>
    <w:p>
      <w:pPr>
        <w:kinsoku w:val="0"/>
        <w:overflowPunct w:val="0"/>
        <w:adjustRightInd w:val="0"/>
        <w:snapToGrid w:val="0"/>
        <w:spacing w:line="360" w:lineRule="auto"/>
        <w:ind w:left="-142" w:right="51" w:firstLine="31680" w:firstLineChars="7"/>
        <w:jc w:val="center"/>
        <w:rPr>
          <w:rFonts w:ascii="仿宋_GB2312" w:hAnsi="仿宋_GB2312" w:eastAsia="仿宋_GB2312" w:cs="Times New Roman"/>
          <w:sz w:val="44"/>
          <w:szCs w:val="44"/>
        </w:rPr>
      </w:pPr>
      <w:r>
        <w:rPr>
          <w:rFonts w:hint="eastAsia" w:ascii="仿宋_GB2312" w:hAnsi="仿宋_GB2312" w:eastAsia="仿宋_GB2312" w:cs="仿宋_GB2312"/>
          <w:sz w:val="44"/>
          <w:szCs w:val="44"/>
        </w:rPr>
        <w:t>目</w:t>
      </w:r>
      <w:r>
        <w:rPr>
          <w:rFonts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3168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第一部分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概况</w:t>
      </w:r>
      <w:r>
        <w:rPr>
          <w:rFonts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31680" w:firstLineChars="200"/>
        <w:rPr>
          <w:rFonts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ascii="仿宋_GB2312" w:hAnsi="仿宋_GB2312" w:eastAsia="仿宋_GB2312" w:cs="仿宋_GB2312"/>
          <w:spacing w:val="-38"/>
          <w:sz w:val="32"/>
          <w:szCs w:val="32"/>
        </w:rPr>
        <w:t xml:space="preserve"> </w:t>
      </w:r>
      <w:r>
        <w:rPr>
          <w:rFonts w:ascii="仿宋_GB2312" w:hAnsi="仿宋_GB2312" w:eastAsia="仿宋_GB2312" w:cs="仿宋_GB2312"/>
          <w:spacing w:val="-119"/>
          <w:sz w:val="32"/>
          <w:szCs w:val="32"/>
        </w:rPr>
        <w:t xml:space="preserve">      </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年度部门预算情况说明</w:t>
      </w:r>
      <w:r>
        <w:rPr>
          <w:rFonts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第三部分</w:t>
      </w:r>
      <w:r>
        <w:rPr>
          <w:rFonts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pacing w:val="-32"/>
          <w:sz w:val="32"/>
          <w:szCs w:val="32"/>
        </w:rPr>
        <w:t xml:space="preserve"> </w:t>
      </w:r>
      <w:r>
        <w:rPr>
          <w:rFonts w:ascii="仿宋_GB2312" w:hAnsi="仿宋_GB2312" w:eastAsia="仿宋_GB2312" w:cs="仿宋_GB2312"/>
          <w:sz w:val="32"/>
          <w:szCs w:val="32"/>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九、机关运行经费</w:t>
      </w:r>
    </w:p>
    <w:p>
      <w:pPr>
        <w:kinsoku w:val="0"/>
        <w:overflowPunct w:val="0"/>
        <w:adjustRightInd w:val="0"/>
        <w:snapToGrid w:val="0"/>
        <w:spacing w:line="360" w:lineRule="auto"/>
        <w:ind w:right="51"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十、国有资本经营预算收支情况表</w:t>
      </w:r>
    </w:p>
    <w:p>
      <w:pPr>
        <w:kinsoku w:val="0"/>
        <w:overflowPunct w:val="0"/>
        <w:adjustRightInd w:val="0"/>
        <w:snapToGrid w:val="0"/>
        <w:spacing w:line="360" w:lineRule="auto"/>
        <w:ind w:right="51" w:firstLine="31680" w:firstLineChars="3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十一、预算项目绩效目标申报表</w:t>
      </w:r>
    </w:p>
    <w:p>
      <w:pPr>
        <w:kinsoku w:val="0"/>
        <w:overflowPunct w:val="0"/>
        <w:adjustRightInd w:val="0"/>
        <w:snapToGrid w:val="0"/>
        <w:spacing w:line="360" w:lineRule="auto"/>
        <w:ind w:left="101" w:right="521" w:firstLine="31680" w:firstLineChars="200"/>
        <w:rPr>
          <w:rFonts w:ascii="仿宋_GB2312" w:hAnsi="仿宋_GB2312" w:eastAsia="仿宋_GB2312" w:cs="Times New Roman"/>
          <w:sz w:val="32"/>
          <w:szCs w:val="32"/>
        </w:rPr>
      </w:pPr>
    </w:p>
    <w:p>
      <w:pPr>
        <w:adjustRightInd w:val="0"/>
        <w:snapToGrid w:val="0"/>
        <w:spacing w:line="600" w:lineRule="exact"/>
        <w:jc w:val="center"/>
        <w:rPr>
          <w:rFonts w:ascii="方正小标宋简体" w:hAnsi="方正小标宋简体" w:eastAsia="方正小标宋简体" w:cs="Times New Roman"/>
          <w:sz w:val="32"/>
          <w:szCs w:val="32"/>
        </w:rPr>
      </w:pPr>
      <w:r>
        <w:rPr>
          <w:rFonts w:hint="eastAsia" w:ascii="方正小标宋简体" w:hAnsi="方正小标宋简体" w:eastAsia="方正小标宋简体" w:cs="方正小标宋简体"/>
          <w:sz w:val="32"/>
          <w:szCs w:val="32"/>
        </w:rPr>
        <w:t>第一部分</w:t>
      </w:r>
    </w:p>
    <w:p>
      <w:pPr>
        <w:adjustRightInd w:val="0"/>
        <w:snapToGrid w:val="0"/>
        <w:spacing w:line="600" w:lineRule="exact"/>
        <w:jc w:val="center"/>
        <w:rPr>
          <w:rFonts w:ascii="方正小标宋简体" w:hAnsi="方正小标宋简体" w:eastAsia="方正小标宋简体" w:cs="Times New Roman"/>
          <w:sz w:val="32"/>
          <w:szCs w:val="32"/>
        </w:rPr>
      </w:pPr>
      <w:r>
        <w:rPr>
          <w:rFonts w:hint="eastAsia" w:ascii="方正小标宋简体" w:hAnsi="方正小标宋简体" w:eastAsia="方正小标宋简体" w:cs="方正小标宋简体"/>
          <w:sz w:val="32"/>
          <w:szCs w:val="32"/>
        </w:rPr>
        <w:t>体育局概况</w:t>
      </w:r>
    </w:p>
    <w:p>
      <w:pPr>
        <w:adjustRightInd w:val="0"/>
        <w:snapToGrid w:val="0"/>
        <w:spacing w:line="600" w:lineRule="exact"/>
        <w:ind w:firstLine="31680" w:firstLineChars="200"/>
        <w:jc w:val="center"/>
        <w:rPr>
          <w:rFonts w:ascii="黑体" w:hAnsi="黑体" w:eastAsia="黑体" w:cs="Times New Roman"/>
          <w:sz w:val="32"/>
          <w:szCs w:val="32"/>
        </w:rPr>
      </w:pPr>
    </w:p>
    <w:p>
      <w:pPr>
        <w:numPr>
          <w:ilvl w:val="0"/>
          <w:numId w:val="1"/>
        </w:numPr>
        <w:adjustRightInd w:val="0"/>
        <w:snapToGrid w:val="0"/>
        <w:spacing w:line="600" w:lineRule="exact"/>
        <w:ind w:firstLine="31680" w:firstLineChars="200"/>
        <w:outlineLvl w:val="0"/>
        <w:rPr>
          <w:rFonts w:ascii="黑体" w:hAnsi="黑体" w:eastAsia="黑体" w:cs="Times New Roman"/>
          <w:sz w:val="32"/>
          <w:szCs w:val="32"/>
        </w:rPr>
      </w:pPr>
      <w:r>
        <w:rPr>
          <w:rFonts w:hint="eastAsia" w:ascii="黑体" w:hAnsi="黑体" w:eastAsia="黑体" w:cs="黑体"/>
          <w:sz w:val="32"/>
          <w:szCs w:val="32"/>
        </w:rPr>
        <w:t>主要职能</w:t>
      </w:r>
    </w:p>
    <w:p>
      <w:pPr>
        <w:adjustRightInd w:val="0"/>
        <w:snapToGrid w:val="0"/>
        <w:spacing w:line="600" w:lineRule="exact"/>
        <w:ind w:firstLine="660"/>
        <w:outlineLvl w:val="0"/>
        <w:rPr>
          <w:rFonts w:ascii="仿宋_GB2312" w:hAnsi="仿宋_GB2312" w:eastAsia="仿宋_GB2312" w:cs="Times New Roman"/>
          <w:sz w:val="32"/>
          <w:szCs w:val="32"/>
        </w:rPr>
      </w:pPr>
      <w:r>
        <w:rPr>
          <w:rFonts w:hint="eastAsia" w:ascii="仿宋_GB2312" w:hAnsi="仿宋_GB2312" w:eastAsia="仿宋_GB2312" w:cs="仿宋_GB2312"/>
          <w:sz w:val="32"/>
          <w:szCs w:val="32"/>
        </w:rPr>
        <w:t>（一）机构设置情况</w:t>
      </w:r>
    </w:p>
    <w:p>
      <w:pPr>
        <w:ind w:left="645"/>
        <w:rPr>
          <w:rFonts w:ascii="仿宋_GB2312" w:eastAsia="仿宋_GB2312" w:cs="Times New Roman"/>
          <w:sz w:val="32"/>
          <w:szCs w:val="32"/>
        </w:rPr>
      </w:pP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办公室</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、武术科</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、群体科。</w:t>
      </w:r>
    </w:p>
    <w:p>
      <w:pPr>
        <w:kinsoku w:val="0"/>
        <w:overflowPunct w:val="0"/>
        <w:adjustRightInd w:val="0"/>
        <w:snapToGrid w:val="0"/>
        <w:spacing w:line="600" w:lineRule="exact"/>
        <w:ind w:right="3569" w:firstLine="645"/>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（二）主要职责</w:t>
      </w:r>
    </w:p>
    <w:p>
      <w:pPr>
        <w:ind w:firstLine="31680" w:firstLineChars="200"/>
        <w:rPr>
          <w:rFonts w:ascii="仿宋_GB2312" w:hAnsi="仿宋_GB2312" w:eastAsia="仿宋_GB2312" w:cs="Times New Roman"/>
          <w:sz w:val="32"/>
          <w:szCs w:val="32"/>
        </w:rPr>
      </w:pPr>
      <w:r>
        <w:rPr>
          <w:rFonts w:hint="eastAsia" w:ascii="仿宋_GB2312" w:eastAsia="仿宋_GB2312" w:cs="仿宋_GB2312"/>
          <w:sz w:val="32"/>
          <w:szCs w:val="32"/>
        </w:rPr>
        <w:t>主要职责是：依法对本区域内体育工作实施管理。主管全县区域内的体育工作。搞好太极拳的挖掘、整理、普及推广工作。举办各种形式的体育竞赛，向上级部门推荐选拔人才。搞好太极拳年会的筹备，组织和善后工作。完成县政府交办的其他任务。</w:t>
      </w:r>
    </w:p>
    <w:p>
      <w:pPr>
        <w:kinsoku w:val="0"/>
        <w:overflowPunct w:val="0"/>
        <w:adjustRightInd w:val="0"/>
        <w:snapToGrid w:val="0"/>
        <w:spacing w:line="600" w:lineRule="exact"/>
        <w:ind w:right="3569" w:firstLine="31680" w:firstLineChars="200"/>
        <w:jc w:val="left"/>
        <w:outlineLvl w:val="0"/>
        <w:rPr>
          <w:rFonts w:ascii="黑体" w:hAnsi="黑体" w:eastAsia="黑体" w:cs="Times New Roman"/>
          <w:sz w:val="32"/>
          <w:szCs w:val="32"/>
        </w:rPr>
      </w:pPr>
      <w:r>
        <w:rPr>
          <w:rFonts w:hint="eastAsia" w:ascii="黑体" w:hAnsi="黑体" w:eastAsia="黑体" w:cs="黑体"/>
          <w:sz w:val="32"/>
          <w:szCs w:val="32"/>
        </w:rPr>
        <w:t>二、部门预算单位构成</w:t>
      </w:r>
    </w:p>
    <w:p>
      <w:pPr>
        <w:autoSpaceDE w:val="0"/>
        <w:autoSpaceDN w:val="0"/>
        <w:spacing w:line="360" w:lineRule="auto"/>
        <w:ind w:firstLine="640"/>
        <w:rPr>
          <w:rFonts w:hint="default" w:ascii="Times New Roman" w:hAnsi="Times New Roman" w:eastAsia="仿宋_GB2312"/>
          <w:sz w:val="32"/>
        </w:rPr>
      </w:pPr>
      <w:r>
        <w:rPr>
          <w:rFonts w:hint="eastAsia" w:ascii="仿宋_GB2312" w:hAnsi="Times New Roman" w:eastAsia="仿宋_GB2312"/>
          <w:sz w:val="32"/>
          <w:lang w:eastAsia="zh-CN"/>
        </w:rPr>
        <w:t>我单位有二级机构</w:t>
      </w:r>
      <w:r>
        <w:rPr>
          <w:rFonts w:hint="eastAsia" w:ascii="仿宋_GB2312" w:hAnsi="Times New Roman" w:eastAsia="仿宋_GB2312"/>
          <w:sz w:val="32"/>
          <w:lang w:val="en-US" w:eastAsia="zh-CN"/>
        </w:rPr>
        <w:t>0个，</w:t>
      </w:r>
      <w:r>
        <w:rPr>
          <w:rFonts w:hint="eastAsia" w:ascii="仿宋_GB2312" w:hAnsi="Times New Roman" w:eastAsia="仿宋_GB2312"/>
          <w:sz w:val="32"/>
        </w:rPr>
        <w:t>本</w:t>
      </w:r>
      <w:r>
        <w:rPr>
          <w:rFonts w:hint="eastAsia" w:ascii="仿宋_GB2312" w:hAnsi="Times New Roman" w:eastAsia="仿宋_GB2312"/>
          <w:sz w:val="32"/>
          <w:lang w:eastAsia="zh-CN"/>
        </w:rPr>
        <w:t>预</w:t>
      </w:r>
      <w:r>
        <w:rPr>
          <w:rFonts w:hint="eastAsia" w:ascii="仿宋_GB2312" w:hAnsi="Times New Roman" w:eastAsia="仿宋_GB2312"/>
          <w:sz w:val="32"/>
        </w:rPr>
        <w:t>算为温县体育局</w:t>
      </w:r>
      <w:r>
        <w:rPr>
          <w:rFonts w:hint="eastAsia" w:ascii="仿宋_GB2312" w:hAnsi="Times New Roman" w:eastAsia="仿宋_GB2312"/>
          <w:sz w:val="32"/>
          <w:lang w:val="en-US" w:eastAsia="zh-CN"/>
        </w:rPr>
        <w:t>本级预算。</w:t>
      </w:r>
    </w:p>
    <w:p>
      <w:pPr>
        <w:adjustRightInd w:val="0"/>
        <w:snapToGrid w:val="0"/>
        <w:spacing w:line="600" w:lineRule="exact"/>
        <w:ind w:firstLine="31680" w:firstLineChars="200"/>
        <w:rPr>
          <w:rFonts w:ascii="仿宋_GB2312" w:hAnsi="仿宋_GB2312" w:eastAsia="仿宋_GB2312" w:cs="Times New Roman"/>
          <w:sz w:val="32"/>
          <w:szCs w:val="32"/>
        </w:rPr>
      </w:pPr>
    </w:p>
    <w:p>
      <w:pPr>
        <w:adjustRightInd w:val="0"/>
        <w:snapToGrid w:val="0"/>
        <w:spacing w:line="600" w:lineRule="exact"/>
        <w:jc w:val="center"/>
        <w:rPr>
          <w:rFonts w:ascii="方正小标宋简体" w:hAnsi="方正小标宋简体" w:eastAsia="方正小标宋简体" w:cs="Times New Roman"/>
          <w:spacing w:val="-38"/>
          <w:sz w:val="32"/>
          <w:szCs w:val="32"/>
        </w:rPr>
      </w:pPr>
      <w:r>
        <w:rPr>
          <w:rFonts w:hint="eastAsia" w:ascii="方正小标宋简体" w:hAnsi="方正小标宋简体" w:eastAsia="方正小标宋简体" w:cs="方正小标宋简体"/>
          <w:sz w:val="32"/>
          <w:szCs w:val="32"/>
        </w:rPr>
        <w:t>第二部分</w:t>
      </w:r>
    </w:p>
    <w:p>
      <w:pPr>
        <w:adjustRightInd w:val="0"/>
        <w:snapToGrid w:val="0"/>
        <w:spacing w:line="600" w:lineRule="exact"/>
        <w:jc w:val="center"/>
        <w:rPr>
          <w:rFonts w:ascii="方正小标宋简体" w:hAnsi="方正小标宋简体" w:eastAsia="方正小标宋简体" w:cs="Times New Roman"/>
          <w:sz w:val="32"/>
          <w:szCs w:val="32"/>
        </w:rPr>
      </w:pPr>
      <w:r>
        <w:rPr>
          <w:rFonts w:ascii="方正小标宋简体" w:hAnsi="方正小标宋简体" w:eastAsia="方正小标宋简体" w:cs="方正小标宋简体"/>
          <w:sz w:val="32"/>
          <w:szCs w:val="32"/>
        </w:rPr>
        <w:t xml:space="preserve"> 2018</w:t>
      </w:r>
      <w:r>
        <w:rPr>
          <w:rFonts w:hint="eastAsia" w:ascii="方正小标宋简体" w:hAnsi="方正小标宋简体" w:eastAsia="方正小标宋简体" w:cs="方正小标宋简体"/>
          <w:sz w:val="32"/>
          <w:szCs w:val="32"/>
        </w:rPr>
        <w:t>年度部门预算情况说明</w:t>
      </w:r>
    </w:p>
    <w:p>
      <w:pPr>
        <w:adjustRightInd w:val="0"/>
        <w:snapToGrid w:val="0"/>
        <w:spacing w:line="600" w:lineRule="exact"/>
        <w:ind w:firstLine="31680" w:firstLineChars="200"/>
        <w:rPr>
          <w:rFonts w:ascii="方正小标宋简体" w:hAnsi="方正小标宋简体" w:eastAsia="方正小标宋简体" w:cs="Times New Roman"/>
          <w:sz w:val="32"/>
          <w:szCs w:val="32"/>
        </w:rPr>
      </w:pPr>
    </w:p>
    <w:p>
      <w:pPr>
        <w:adjustRightInd w:val="0"/>
        <w:snapToGrid w:val="0"/>
        <w:spacing w:line="600" w:lineRule="exact"/>
        <w:ind w:firstLine="31680" w:firstLineChars="200"/>
        <w:outlineLvl w:val="0"/>
        <w:rPr>
          <w:rFonts w:ascii="黑体" w:hAnsi="黑体" w:eastAsia="黑体" w:cs="Times New Roman"/>
          <w:sz w:val="32"/>
          <w:szCs w:val="32"/>
        </w:rPr>
      </w:pPr>
      <w:r>
        <w:rPr>
          <w:rFonts w:hint="eastAsia" w:ascii="黑体" w:hAnsi="黑体" w:eastAsia="黑体" w:cs="黑体"/>
          <w:sz w:val="32"/>
          <w:szCs w:val="32"/>
        </w:rPr>
        <w:t>一、收入支出预算总体情况说明</w:t>
      </w:r>
    </w:p>
    <w:p>
      <w:pPr>
        <w:adjustRightInd w:val="0"/>
        <w:snapToGrid w:val="0"/>
        <w:spacing w:line="600" w:lineRule="exact"/>
        <w:ind w:firstLine="31680" w:firstLineChars="200"/>
        <w:rPr>
          <w:rFonts w:ascii="仿宋_GB2312" w:hAnsi="仿宋_GB2312" w:eastAsia="仿宋_GB2312" w:cs="Times New Roman"/>
          <w:sz w:val="32"/>
          <w:szCs w:val="32"/>
        </w:rPr>
      </w:pPr>
      <w:r>
        <w:rPr>
          <w:rFonts w:hint="eastAsia" w:ascii="仿宋_GB2312" w:eastAsia="仿宋_GB2312"/>
          <w:sz w:val="32"/>
          <w:szCs w:val="32"/>
        </w:rPr>
        <w:t>温县体育局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年收入总计</w:t>
      </w:r>
      <w:r>
        <w:rPr>
          <w:rFonts w:ascii="仿宋_GB2312" w:hAnsi="仿宋_GB2312" w:eastAsia="仿宋_GB2312" w:cs="仿宋_GB2312"/>
          <w:sz w:val="32"/>
          <w:szCs w:val="32"/>
        </w:rPr>
        <w:t>159.05</w:t>
      </w:r>
      <w:r>
        <w:rPr>
          <w:rFonts w:hint="eastAsia" w:ascii="仿宋_GB2312" w:hAnsi="仿宋_GB2312" w:eastAsia="仿宋_GB2312" w:cs="仿宋_GB2312"/>
          <w:sz w:val="32"/>
          <w:szCs w:val="32"/>
        </w:rPr>
        <w:t>万元，支出总计</w:t>
      </w:r>
      <w:r>
        <w:rPr>
          <w:rFonts w:ascii="仿宋_GB2312" w:hAnsi="仿宋_GB2312" w:eastAsia="仿宋_GB2312" w:cs="仿宋_GB2312"/>
          <w:sz w:val="32"/>
          <w:szCs w:val="32"/>
        </w:rPr>
        <w:t>159.05</w:t>
      </w:r>
      <w:r>
        <w:rPr>
          <w:rFonts w:hint="eastAsia" w:ascii="仿宋_GB2312" w:hAnsi="仿宋_GB2312" w:eastAsia="仿宋_GB2312" w:cs="仿宋_GB2312"/>
          <w:sz w:val="32"/>
          <w:szCs w:val="32"/>
        </w:rPr>
        <w:t>万元，与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年相比，收、支总计各增加</w:t>
      </w:r>
      <w:r>
        <w:rPr>
          <w:rFonts w:ascii="仿宋_GB2312" w:hAnsi="仿宋_GB2312" w:eastAsia="仿宋_GB2312" w:cs="仿宋_GB2312"/>
          <w:sz w:val="32"/>
          <w:szCs w:val="32"/>
        </w:rPr>
        <w:t>25.76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19.3%。</w:t>
      </w:r>
      <w:r>
        <w:rPr>
          <w:rFonts w:hint="eastAsia" w:ascii="仿宋_GB2312" w:hAnsi="仿宋_GB2312" w:eastAsia="仿宋_GB2312" w:cs="仿宋_GB2312"/>
          <w:sz w:val="32"/>
          <w:szCs w:val="32"/>
        </w:rPr>
        <w:t>主要原因：</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年非税收入</w:t>
      </w:r>
      <w:r>
        <w:rPr>
          <w:rFonts w:hint="eastAsia" w:ascii="仿宋_GB2312" w:hAnsi="仿宋_GB2312" w:eastAsia="仿宋_GB2312" w:cs="仿宋_GB2312"/>
          <w:sz w:val="32"/>
          <w:szCs w:val="32"/>
          <w:lang w:eastAsia="zh-CN"/>
        </w:rPr>
        <w:t>安排的支出</w:t>
      </w:r>
      <w:r>
        <w:rPr>
          <w:rFonts w:hint="eastAsia" w:ascii="仿宋_GB2312" w:hAnsi="仿宋_GB2312" w:eastAsia="仿宋_GB2312" w:cs="仿宋_GB2312"/>
          <w:sz w:val="32"/>
          <w:szCs w:val="32"/>
        </w:rPr>
        <w:t>增加。</w:t>
      </w:r>
    </w:p>
    <w:p>
      <w:pPr>
        <w:spacing w:line="600" w:lineRule="exact"/>
        <w:ind w:firstLine="31680" w:firstLineChars="200"/>
        <w:outlineLvl w:val="0"/>
        <w:rPr>
          <w:rFonts w:ascii="黑体" w:hAnsi="黑体" w:eastAsia="黑体" w:cs="Times New Roman"/>
          <w:sz w:val="32"/>
          <w:szCs w:val="32"/>
        </w:rPr>
      </w:pPr>
      <w:r>
        <w:rPr>
          <w:rFonts w:hint="eastAsia" w:ascii="黑体" w:hAnsi="黑体" w:eastAsia="黑体" w:cs="黑体"/>
          <w:sz w:val="32"/>
          <w:szCs w:val="32"/>
        </w:rPr>
        <w:t>二、收入预算总体情况说明</w:t>
      </w:r>
    </w:p>
    <w:p>
      <w:pPr>
        <w:widowControl/>
        <w:shd w:val="clear" w:color="auto" w:fill="FFFFFF"/>
        <w:spacing w:line="600" w:lineRule="exact"/>
        <w:ind w:firstLine="640"/>
        <w:jc w:val="left"/>
        <w:rPr>
          <w:rFonts w:ascii="仿宋_GB2312" w:hAnsi="仿宋_GB2312" w:eastAsia="仿宋_GB2312" w:cs="Times New Roman"/>
          <w:sz w:val="32"/>
          <w:szCs w:val="32"/>
        </w:rPr>
      </w:pPr>
      <w:r>
        <w:rPr>
          <w:rFonts w:hint="eastAsia" w:ascii="仿宋_GB2312" w:eastAsia="仿宋_GB2312"/>
          <w:sz w:val="32"/>
          <w:szCs w:val="32"/>
        </w:rPr>
        <w:t>温县体育局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年收入合计</w:t>
      </w:r>
      <w:r>
        <w:rPr>
          <w:rFonts w:ascii="仿宋_GB2312" w:hAnsi="仿宋_GB2312" w:eastAsia="仿宋_GB2312" w:cs="仿宋_GB2312"/>
          <w:sz w:val="32"/>
          <w:szCs w:val="32"/>
        </w:rPr>
        <w:t>159.05</w:t>
      </w:r>
      <w:r>
        <w:rPr>
          <w:rFonts w:hint="eastAsia" w:ascii="仿宋_GB2312" w:hAnsi="仿宋_GB2312" w:eastAsia="仿宋_GB2312" w:cs="仿宋_GB2312"/>
          <w:sz w:val="32"/>
          <w:szCs w:val="32"/>
        </w:rPr>
        <w:t>万元，其中：一般公共预算合计</w:t>
      </w:r>
      <w:r>
        <w:rPr>
          <w:rFonts w:ascii="仿宋_GB2312" w:hAnsi="仿宋_GB2312" w:eastAsia="仿宋_GB2312" w:cs="仿宋_GB2312"/>
          <w:sz w:val="32"/>
          <w:szCs w:val="32"/>
        </w:rPr>
        <w:t>159.05</w:t>
      </w:r>
      <w:r>
        <w:rPr>
          <w:rFonts w:hint="eastAsia" w:ascii="仿宋_GB2312" w:hAnsi="仿宋_GB2312" w:eastAsia="仿宋_GB2312" w:cs="仿宋_GB2312"/>
          <w:sz w:val="32"/>
          <w:szCs w:val="32"/>
        </w:rPr>
        <w:t>万元，本级财力</w:t>
      </w:r>
      <w:r>
        <w:rPr>
          <w:rFonts w:ascii="仿宋_GB2312" w:hAnsi="仿宋_GB2312" w:eastAsia="仿宋_GB2312" w:cs="仿宋_GB2312"/>
          <w:sz w:val="32"/>
          <w:szCs w:val="32"/>
        </w:rPr>
        <w:t>139.05</w:t>
      </w:r>
      <w:r>
        <w:rPr>
          <w:rFonts w:hint="eastAsia" w:ascii="仿宋_GB2312" w:hAnsi="仿宋_GB2312" w:eastAsia="仿宋_GB2312" w:cs="仿宋_GB2312"/>
          <w:sz w:val="32"/>
          <w:szCs w:val="32"/>
        </w:rPr>
        <w:t>万元，非税收入</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万元，上级转移支付收入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万元；政府性基金收入</w:t>
      </w:r>
      <w:r>
        <w:rPr>
          <w:rFonts w:ascii="仿宋_GB2312" w:hAnsi="仿宋_GB2312" w:eastAsia="仿宋_GB2312" w:cs="仿宋_GB2312"/>
          <w:sz w:val="32"/>
          <w:szCs w:val="32"/>
        </w:rPr>
        <w:t xml:space="preserve"> 0</w:t>
      </w:r>
      <w:r>
        <w:rPr>
          <w:rFonts w:hint="eastAsia" w:ascii="仿宋_GB2312" w:hAnsi="仿宋_GB2312" w:eastAsia="仿宋_GB2312" w:cs="仿宋_GB2312"/>
          <w:sz w:val="32"/>
          <w:szCs w:val="32"/>
        </w:rPr>
        <w:t>万元。</w:t>
      </w:r>
    </w:p>
    <w:p>
      <w:pPr>
        <w:spacing w:line="600" w:lineRule="exact"/>
        <w:ind w:firstLine="31680" w:firstLineChars="200"/>
        <w:outlineLvl w:val="0"/>
        <w:rPr>
          <w:rFonts w:ascii="仿宋_GB2312" w:hAnsi="仿宋_GB2312" w:eastAsia="仿宋_GB2312" w:cs="Times New Roman"/>
          <w:sz w:val="32"/>
          <w:szCs w:val="32"/>
        </w:rPr>
      </w:pPr>
      <w:r>
        <w:rPr>
          <w:rFonts w:hint="eastAsia" w:ascii="黑体" w:hAnsi="黑体" w:eastAsia="黑体" w:cs="黑体"/>
          <w:sz w:val="32"/>
          <w:szCs w:val="32"/>
        </w:rPr>
        <w:t>三、支出预算总体情况说明</w:t>
      </w:r>
    </w:p>
    <w:p>
      <w:pPr>
        <w:spacing w:line="600" w:lineRule="exact"/>
        <w:ind w:firstLine="31680" w:firstLineChars="200"/>
        <w:rPr>
          <w:rFonts w:hint="eastAsia" w:ascii="仿宋_GB2312" w:hAnsi="仿宋_GB2312" w:eastAsia="仿宋_GB2312" w:cs="仿宋_GB2312"/>
          <w:sz w:val="32"/>
          <w:szCs w:val="32"/>
        </w:rPr>
      </w:pPr>
      <w:r>
        <w:rPr>
          <w:rFonts w:hint="eastAsia" w:ascii="仿宋_GB2312" w:eastAsia="仿宋_GB2312"/>
          <w:sz w:val="32"/>
          <w:szCs w:val="32"/>
        </w:rPr>
        <w:t>温县体育局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年支出合计</w:t>
      </w:r>
      <w:r>
        <w:rPr>
          <w:rFonts w:ascii="仿宋_GB2312" w:hAnsi="仿宋_GB2312" w:eastAsia="仿宋_GB2312" w:cs="仿宋_GB2312"/>
          <w:sz w:val="32"/>
          <w:szCs w:val="32"/>
        </w:rPr>
        <w:t>159.05</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88.05</w:t>
      </w:r>
      <w:r>
        <w:rPr>
          <w:rFonts w:hint="eastAsia" w:ascii="仿宋_GB2312" w:hAnsi="仿宋_GB2312" w:eastAsia="仿宋_GB2312" w:cs="仿宋_GB2312"/>
          <w:sz w:val="32"/>
          <w:szCs w:val="32"/>
        </w:rPr>
        <w:t>万元，占比为</w:t>
      </w:r>
      <w:r>
        <w:rPr>
          <w:rFonts w:ascii="仿宋_GB2312" w:hAnsi="仿宋_GB2312" w:eastAsia="仿宋_GB2312" w:cs="仿宋_GB2312"/>
          <w:sz w:val="32"/>
          <w:szCs w:val="32"/>
        </w:rPr>
        <w:t>55%</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71</w:t>
      </w:r>
      <w:r>
        <w:rPr>
          <w:rFonts w:hint="eastAsia" w:ascii="仿宋_GB2312" w:hAnsi="仿宋_GB2312" w:eastAsia="仿宋_GB2312" w:cs="仿宋_GB2312"/>
          <w:sz w:val="32"/>
          <w:szCs w:val="32"/>
        </w:rPr>
        <w:t>万元，占比为</w:t>
      </w:r>
      <w:r>
        <w:rPr>
          <w:rFonts w:ascii="仿宋_GB2312" w:hAnsi="仿宋_GB2312" w:eastAsia="仿宋_GB2312" w:cs="仿宋_GB2312"/>
          <w:sz w:val="32"/>
          <w:szCs w:val="32"/>
        </w:rPr>
        <w:t xml:space="preserve"> 45%</w:t>
      </w:r>
      <w:r>
        <w:rPr>
          <w:rFonts w:hint="eastAsia" w:ascii="仿宋_GB2312" w:hAnsi="仿宋_GB2312" w:eastAsia="仿宋_GB2312" w:cs="仿宋_GB2312"/>
          <w:sz w:val="32"/>
          <w:szCs w:val="32"/>
        </w:rPr>
        <w:t>。</w:t>
      </w:r>
    </w:p>
    <w:p>
      <w:pPr>
        <w:pStyle w:val="3"/>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温县体育局2018年一般公共预算收支预算159.05万元。政府性基金收支预算0万元，与 2017年相比，一般公共预算收支预算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25.7</w:t>
      </w:r>
      <w:r>
        <w:rPr>
          <w:rFonts w:ascii="仿宋_GB2312" w:hAnsi="仿宋_GB2312" w:eastAsia="仿宋_GB2312" w:cs="仿宋_GB2312"/>
          <w:sz w:val="32"/>
          <w:szCs w:val="32"/>
        </w:rPr>
        <w:t>6</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19.3</w:t>
      </w:r>
      <w:r>
        <w:rPr>
          <w:rFonts w:hint="eastAsia" w:ascii="仿宋_GB2312" w:eastAsia="仿宋_GB2312"/>
          <w:sz w:val="32"/>
          <w:szCs w:val="32"/>
        </w:rPr>
        <w:t>%，主要原因：</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年非税收入</w:t>
      </w:r>
      <w:r>
        <w:rPr>
          <w:rFonts w:hint="eastAsia" w:ascii="仿宋_GB2312" w:hAnsi="仿宋_GB2312" w:eastAsia="仿宋_GB2312" w:cs="仿宋_GB2312"/>
          <w:sz w:val="32"/>
          <w:szCs w:val="32"/>
          <w:lang w:eastAsia="zh-CN"/>
        </w:rPr>
        <w:t>安排的支出</w:t>
      </w:r>
      <w:r>
        <w:rPr>
          <w:rFonts w:hint="eastAsia" w:ascii="仿宋_GB2312" w:hAnsi="仿宋_GB2312" w:eastAsia="仿宋_GB2312" w:cs="仿宋_GB2312"/>
          <w:sz w:val="32"/>
          <w:szCs w:val="32"/>
        </w:rPr>
        <w:t>增加</w:t>
      </w:r>
      <w:r>
        <w:rPr>
          <w:rFonts w:hint="eastAsia" w:ascii="仿宋_GB2312" w:eastAsia="仿宋_GB2312"/>
          <w:sz w:val="32"/>
          <w:szCs w:val="32"/>
        </w:rPr>
        <w:t>；政府性基金收支与2017年保持一致。</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温县体育局2018年一般公共预算支出年初预算为159.05万元。主要用于以下方面：文化体育与传媒支出141.48万元，占</w:t>
      </w:r>
      <w:r>
        <w:rPr>
          <w:rFonts w:hint="eastAsia" w:ascii="仿宋_GB2312" w:eastAsia="仿宋_GB2312"/>
          <w:sz w:val="32"/>
          <w:szCs w:val="32"/>
          <w:lang w:val="en-US" w:eastAsia="zh-CN"/>
        </w:rPr>
        <w:t>8</w:t>
      </w:r>
      <w:r>
        <w:rPr>
          <w:rFonts w:hint="eastAsia" w:ascii="仿宋_GB2312" w:eastAsia="仿宋_GB2312"/>
          <w:sz w:val="32"/>
          <w:szCs w:val="32"/>
        </w:rPr>
        <w:t>9%；社会保障支出12.94万元，占8%；医疗卫生与计划生育支出4.63万元，占</w:t>
      </w:r>
      <w:r>
        <w:rPr>
          <w:rFonts w:hint="eastAsia" w:ascii="仿宋_GB2312" w:eastAsia="仿宋_GB2312"/>
          <w:sz w:val="32"/>
          <w:szCs w:val="32"/>
          <w:lang w:val="en-US" w:eastAsia="zh-CN"/>
        </w:rPr>
        <w:t>3</w:t>
      </w:r>
      <w:r>
        <w:rPr>
          <w:rFonts w:hint="eastAsia" w:ascii="仿宋_GB2312" w:eastAsia="仿宋_GB2312"/>
          <w:sz w:val="32"/>
          <w:szCs w:val="32"/>
        </w:rPr>
        <w:t>%；</w:t>
      </w:r>
    </w:p>
    <w:p>
      <w:pPr>
        <w:pStyle w:val="3"/>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pStyle w:val="3"/>
        <w:spacing w:line="600" w:lineRule="atLeast"/>
        <w:ind w:firstLine="640"/>
        <w:rPr>
          <w:rFonts w:hint="eastAsia" w:ascii="仿宋_GB2312" w:eastAsia="仿宋_GB2312"/>
          <w:sz w:val="32"/>
          <w:szCs w:val="32"/>
        </w:rPr>
      </w:pPr>
      <w:r>
        <w:rPr>
          <w:rFonts w:hint="eastAsia" w:ascii="仿宋_GB2312" w:eastAsia="仿宋_GB2312"/>
          <w:sz w:val="32"/>
          <w:szCs w:val="32"/>
        </w:rPr>
        <w:t>温县体育局2018年一般公共预算基本支出</w:t>
      </w:r>
      <w:r>
        <w:rPr>
          <w:rFonts w:hint="eastAsia" w:ascii="仿宋_GB2312" w:eastAsia="仿宋_GB2312"/>
          <w:sz w:val="32"/>
          <w:szCs w:val="32"/>
          <w:lang w:val="en-US" w:eastAsia="zh-CN"/>
        </w:rPr>
        <w:t>88.05</w:t>
      </w:r>
      <w:r>
        <w:rPr>
          <w:rFonts w:hint="eastAsia" w:ascii="仿宋_GB2312" w:eastAsia="仿宋_GB2312"/>
          <w:sz w:val="32"/>
          <w:szCs w:val="32"/>
        </w:rPr>
        <w:t>万元，其中：人员经费</w:t>
      </w:r>
      <w:r>
        <w:rPr>
          <w:rFonts w:hint="eastAsia" w:ascii="仿宋_GB2312" w:eastAsia="仿宋_GB2312"/>
          <w:sz w:val="32"/>
          <w:szCs w:val="32"/>
          <w:lang w:val="en-US" w:eastAsia="zh-CN"/>
        </w:rPr>
        <w:t>82.71</w:t>
      </w:r>
      <w:r>
        <w:rPr>
          <w:rFonts w:hint="eastAsia" w:ascii="仿宋_GB2312" w:eastAsia="仿宋_GB2312"/>
          <w:sz w:val="32"/>
          <w:szCs w:val="32"/>
        </w:rPr>
        <w:t>万元，基本工资、津贴补贴、绩效工资、机关事业单位基本养老保险缴费、医疗保险缴费、其他社会保障缴费；公用经费</w:t>
      </w:r>
      <w:r>
        <w:rPr>
          <w:rFonts w:hint="eastAsia" w:ascii="仿宋_GB2312" w:eastAsia="仿宋_GB2312"/>
          <w:sz w:val="32"/>
          <w:szCs w:val="32"/>
          <w:lang w:val="en-US" w:eastAsia="zh-CN"/>
        </w:rPr>
        <w:t>5.34</w:t>
      </w:r>
      <w:r>
        <w:rPr>
          <w:rFonts w:hint="eastAsia" w:ascii="仿宋_GB2312" w:eastAsia="仿宋_GB2312"/>
          <w:sz w:val="32"/>
          <w:szCs w:val="32"/>
        </w:rPr>
        <w:t>万元，主要包括：办公费、电费、公务接待费、劳务费</w:t>
      </w:r>
      <w:r>
        <w:rPr>
          <w:rFonts w:hint="eastAsia" w:ascii="仿宋_GB2312" w:eastAsia="仿宋_GB2312"/>
          <w:sz w:val="32"/>
          <w:szCs w:val="32"/>
          <w:lang w:eastAsia="zh-CN"/>
        </w:rPr>
        <w:t>、其他交通费用</w:t>
      </w:r>
      <w:r>
        <w:rPr>
          <w:rFonts w:hint="eastAsia" w:ascii="仿宋_GB2312" w:eastAsia="仿宋_GB2312"/>
          <w:sz w:val="32"/>
          <w:szCs w:val="32"/>
        </w:rPr>
        <w:t>。</w:t>
      </w:r>
    </w:p>
    <w:p>
      <w:pPr>
        <w:spacing w:line="600" w:lineRule="exact"/>
        <w:ind w:firstLine="31680" w:firstLineChars="200"/>
        <w:outlineLvl w:val="0"/>
        <w:rPr>
          <w:rFonts w:ascii="黑体" w:hAnsi="黑体" w:eastAsia="黑体" w:cs="Times New Roman"/>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spacing w:line="600" w:lineRule="exact"/>
        <w:ind w:firstLine="31680" w:firstLineChars="200"/>
        <w:rPr>
          <w:rFonts w:ascii="仿宋_GB2312" w:hAnsi="仿宋_GB2312" w:eastAsia="仿宋_GB2312" w:cs="Times New Roman"/>
          <w:sz w:val="32"/>
          <w:szCs w:val="32"/>
        </w:rPr>
      </w:pPr>
      <w:r>
        <w:rPr>
          <w:rFonts w:hint="eastAsia" w:ascii="仿宋_GB2312" w:eastAsia="仿宋_GB2312"/>
          <w:sz w:val="32"/>
          <w:szCs w:val="32"/>
        </w:rPr>
        <w:t>温县体育局</w:t>
      </w:r>
      <w:r>
        <w:rPr>
          <w:rFonts w:ascii="仿宋_GB2312" w:hAnsi="仿宋_GB2312" w:eastAsia="仿宋_GB2312" w:cs="仿宋_GB2312"/>
          <w:sz w:val="32"/>
          <w:szCs w:val="32"/>
        </w:rPr>
        <w:t xml:space="preserve">2018 </w:t>
      </w:r>
      <w:r>
        <w:rPr>
          <w:rFonts w:hint="eastAsia" w:ascii="仿宋_GB2312" w:hAnsi="仿宋_GB2312" w:eastAsia="仿宋_GB2312" w:cs="仿宋_GB2312"/>
          <w:sz w:val="32"/>
          <w:szCs w:val="32"/>
        </w:rPr>
        <w:t>年“三公”经费预算为</w:t>
      </w:r>
      <w:r>
        <w:rPr>
          <w:rFonts w:ascii="仿宋_GB2312" w:hAnsi="仿宋_GB2312" w:eastAsia="仿宋_GB2312" w:cs="仿宋_GB2312"/>
          <w:sz w:val="32"/>
          <w:szCs w:val="32"/>
        </w:rPr>
        <w:t>0.4</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年“三公”经费支出预算数比</w:t>
      </w:r>
      <w:r>
        <w:rPr>
          <w:rFonts w:ascii="仿宋_GB2312" w:hAnsi="仿宋_GB2312" w:eastAsia="仿宋_GB2312" w:cs="仿宋_GB2312"/>
          <w:sz w:val="32"/>
          <w:szCs w:val="32"/>
        </w:rPr>
        <w:t xml:space="preserve"> 2017</w:t>
      </w:r>
      <w:r>
        <w:rPr>
          <w:rFonts w:hint="eastAsia" w:ascii="仿宋_GB2312" w:hAnsi="仿宋_GB2312" w:eastAsia="仿宋_GB2312" w:cs="仿宋_GB2312"/>
          <w:sz w:val="32"/>
          <w:szCs w:val="32"/>
        </w:rPr>
        <w:t>年预算数减少</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73.33%</w:t>
      </w:r>
      <w:r>
        <w:rPr>
          <w:rFonts w:hint="eastAsia" w:ascii="仿宋_GB2312" w:hAnsi="仿宋_GB2312" w:eastAsia="仿宋_GB2312" w:cs="仿宋_GB2312"/>
          <w:sz w:val="32"/>
          <w:szCs w:val="32"/>
        </w:rPr>
        <w:t>。</w:t>
      </w:r>
      <w:bookmarkStart w:id="0" w:name="_GoBack"/>
      <w:bookmarkEnd w:id="0"/>
    </w:p>
    <w:p>
      <w:pPr>
        <w:kinsoku w:val="0"/>
        <w:overflowPunct w:val="0"/>
        <w:autoSpaceDE w:val="0"/>
        <w:autoSpaceDN w:val="0"/>
        <w:adjustRightInd w:val="0"/>
        <w:snapToGrid w:val="0"/>
        <w:spacing w:line="600" w:lineRule="exact"/>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具体支出情况如下：</w:t>
      </w:r>
    </w:p>
    <w:p>
      <w:pPr>
        <w:numPr>
          <w:ilvl w:val="0"/>
          <w:numId w:val="2"/>
        </w:numPr>
        <w:kinsoku w:val="0"/>
        <w:overflowPunct w:val="0"/>
        <w:autoSpaceDE w:val="0"/>
        <w:autoSpaceDN w:val="0"/>
        <w:adjustRightInd w:val="0"/>
        <w:snapToGrid w:val="0"/>
        <w:spacing w:line="600" w:lineRule="exact"/>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b/>
          <w:bCs/>
          <w:spacing w:val="-1"/>
          <w:kern w:val="0"/>
          <w:sz w:val="32"/>
          <w:szCs w:val="32"/>
        </w:rPr>
        <w:t>因公出国（境）费</w:t>
      </w:r>
      <w:r>
        <w:rPr>
          <w:rFonts w:ascii="仿宋_GB2312" w:hAnsi="仿宋_GB2312" w:eastAsia="仿宋_GB2312" w:cs="仿宋_GB2312"/>
          <w:sz w:val="32"/>
          <w:szCs w:val="32"/>
        </w:rPr>
        <w:t xml:space="preserve"> 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2017年数一致，增长0%。</w:t>
      </w:r>
    </w:p>
    <w:p>
      <w:pPr>
        <w:numPr>
          <w:ilvl w:val="0"/>
          <w:numId w:val="2"/>
        </w:numPr>
        <w:kinsoku w:val="0"/>
        <w:overflowPunct w:val="0"/>
        <w:autoSpaceDE w:val="0"/>
        <w:autoSpaceDN w:val="0"/>
        <w:adjustRightInd w:val="0"/>
        <w:snapToGrid w:val="0"/>
        <w:spacing w:line="600" w:lineRule="exact"/>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b/>
          <w:bCs/>
          <w:spacing w:val="-1"/>
          <w:kern w:val="0"/>
          <w:sz w:val="32"/>
          <w:szCs w:val="32"/>
        </w:rPr>
        <w:t>公务用车购置及运行费</w:t>
      </w:r>
      <w:r>
        <w:rPr>
          <w:rFonts w:ascii="仿宋_GB2312" w:hAnsi="仿宋_GB2312" w:eastAsia="仿宋_GB2312" w:cs="仿宋_GB2312"/>
          <w:sz w:val="32"/>
          <w:szCs w:val="32"/>
        </w:rPr>
        <w:t>0</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lang w:val="en-US" w:eastAsia="zh-CN"/>
        </w:rPr>
        <w:t>2017年数一致，</w:t>
      </w:r>
      <w:r>
        <w:rPr>
          <w:rFonts w:hint="eastAsia" w:ascii="仿宋_GB2312" w:hAnsi="仿宋_GB2312" w:eastAsia="仿宋_GB2312" w:cs="仿宋_GB2312"/>
          <w:color w:val="000000"/>
          <w:sz w:val="32"/>
          <w:szCs w:val="32"/>
          <w:lang w:eastAsia="zh-CN"/>
        </w:rPr>
        <w:t>其中公务车辆购置费</w:t>
      </w:r>
      <w:r>
        <w:rPr>
          <w:rFonts w:hint="eastAsia" w:ascii="仿宋_GB2312" w:hAnsi="仿宋_GB2312" w:eastAsia="仿宋_GB2312" w:cs="仿宋_GB2312"/>
          <w:color w:val="000000"/>
          <w:sz w:val="32"/>
          <w:szCs w:val="32"/>
          <w:lang w:val="en-US" w:eastAsia="zh-CN"/>
        </w:rPr>
        <w:t>0万元，与2017年预算数持平，增长0%。</w:t>
      </w:r>
      <w:r>
        <w:rPr>
          <w:rFonts w:hint="eastAsia" w:ascii="仿宋_GB2312" w:hAnsi="仿宋_GB2312" w:eastAsia="仿宋_GB2312" w:cs="仿宋_GB2312"/>
          <w:color w:val="000000"/>
          <w:sz w:val="32"/>
          <w:szCs w:val="32"/>
          <w:lang w:eastAsia="zh-CN"/>
        </w:rPr>
        <w:t>公车运行维护费</w:t>
      </w:r>
      <w:r>
        <w:rPr>
          <w:rFonts w:hint="eastAsia" w:ascii="仿宋_GB2312" w:hAnsi="仿宋_GB2312" w:eastAsia="仿宋_GB2312" w:cs="仿宋_GB2312"/>
          <w:color w:val="000000"/>
          <w:sz w:val="32"/>
          <w:szCs w:val="32"/>
          <w:lang w:val="en-US" w:eastAsia="zh-CN"/>
        </w:rPr>
        <w:t>0万元，与2017年预算数持平，增长0%。</w:t>
      </w:r>
    </w:p>
    <w:p>
      <w:pPr>
        <w:spacing w:line="600" w:lineRule="exact"/>
        <w:ind w:firstLine="31680" w:firstLineChars="200"/>
        <w:outlineLvl w:val="0"/>
        <w:rPr>
          <w:rFonts w:ascii="仿宋_GB2312" w:hAnsi="仿宋_GB2312" w:eastAsia="仿宋_GB2312" w:cs="Times New Roman"/>
          <w:sz w:val="32"/>
          <w:szCs w:val="32"/>
        </w:rPr>
      </w:pPr>
      <w:r>
        <w:rPr>
          <w:rFonts w:hint="eastAsia" w:ascii="仿宋_GB2312" w:hAnsi="仿宋_GB2312" w:eastAsia="仿宋_GB2312" w:cs="仿宋_GB2312"/>
          <w:b/>
          <w:bCs/>
          <w:spacing w:val="-1"/>
          <w:kern w:val="0"/>
          <w:sz w:val="32"/>
          <w:szCs w:val="32"/>
        </w:rPr>
        <w:t>（三）公务接待费</w:t>
      </w:r>
      <w:r>
        <w:rPr>
          <w:rFonts w:ascii="仿宋_GB2312" w:hAnsi="仿宋_GB2312" w:eastAsia="仿宋_GB2312" w:cs="仿宋_GB2312"/>
          <w:sz w:val="32"/>
          <w:szCs w:val="32"/>
        </w:rPr>
        <w:t>0.4</w:t>
      </w:r>
      <w:r>
        <w:rPr>
          <w:rFonts w:hint="eastAsia" w:ascii="仿宋_GB2312" w:hAnsi="仿宋_GB2312" w:eastAsia="仿宋_GB2312" w:cs="仿宋_GB2312"/>
          <w:sz w:val="32"/>
          <w:szCs w:val="32"/>
        </w:rPr>
        <w:t>万元，主要用于上级部门检查、督导业务工作时安排就餐和住宿；兄弟单位和各武术协会团体来我县进行体育文化交流时安排食宿和就餐。预算数比</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年减少</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73.33%，</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贯彻厉行节约原则</w:t>
      </w:r>
      <w:r>
        <w:rPr>
          <w:rFonts w:hint="eastAsia" w:ascii="仿宋_GB2312" w:hAnsi="仿宋_GB2312" w:eastAsia="仿宋_GB2312" w:cs="仿宋_GB2312"/>
          <w:sz w:val="32"/>
          <w:szCs w:val="32"/>
        </w:rPr>
        <w:t>。</w:t>
      </w:r>
    </w:p>
    <w:p>
      <w:pPr>
        <w:spacing w:line="600" w:lineRule="exact"/>
        <w:ind w:firstLine="31680" w:firstLineChars="200"/>
        <w:outlineLvl w:val="0"/>
        <w:rPr>
          <w:rFonts w:ascii="黑体" w:hAnsi="黑体" w:eastAsia="黑体" w:cs="Times New Roman"/>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spacing w:line="600" w:lineRule="exact"/>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我单位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年没有使用政府性基金预算拨款安排的收支。</w:t>
      </w:r>
    </w:p>
    <w:p>
      <w:pPr>
        <w:spacing w:line="600" w:lineRule="exact"/>
        <w:ind w:firstLine="31680" w:firstLineChars="200"/>
        <w:rPr>
          <w:rFonts w:ascii="黑体" w:hAnsi="黑体" w:eastAsia="黑体" w:cs="Times New Roman"/>
          <w:kern w:val="0"/>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w:t>
      </w:r>
      <w:r>
        <w:rPr>
          <w:rFonts w:hint="eastAsia" w:ascii="黑体" w:hAnsi="黑体" w:eastAsia="黑体" w:cs="黑体"/>
          <w:kern w:val="0"/>
          <w:sz w:val="32"/>
          <w:szCs w:val="32"/>
        </w:rPr>
        <w:t>国有资本经营预算支出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spacing w:line="600" w:lineRule="exact"/>
        <w:ind w:firstLine="31680" w:firstLineChars="200"/>
        <w:rPr>
          <w:rFonts w:ascii="仿宋_GB2312" w:hAnsi="仿宋_GB2312" w:eastAsia="仿宋_GB2312" w:cs="Times New Roman"/>
          <w:color w:val="C00000"/>
          <w:sz w:val="32"/>
          <w:szCs w:val="32"/>
        </w:rPr>
      </w:pPr>
      <w:r>
        <w:rPr>
          <w:rFonts w:hint="eastAsia" w:ascii="仿宋_GB2312" w:hAnsi="仿宋_GB2312" w:eastAsia="仿宋_GB2312" w:cs="仿宋_GB2312"/>
          <w:sz w:val="32"/>
          <w:szCs w:val="32"/>
        </w:rPr>
        <w:t>我单位</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年没有使用政国有资本经营预算拨款安排的收支。</w:t>
      </w:r>
    </w:p>
    <w:p>
      <w:pPr>
        <w:kinsoku w:val="0"/>
        <w:overflowPunct w:val="0"/>
        <w:autoSpaceDE w:val="0"/>
        <w:autoSpaceDN w:val="0"/>
        <w:adjustRightInd w:val="0"/>
        <w:snapToGrid w:val="0"/>
        <w:spacing w:line="600" w:lineRule="exact"/>
        <w:ind w:firstLine="31680" w:firstLineChars="200"/>
        <w:outlineLvl w:val="0"/>
        <w:rPr>
          <w:rFonts w:ascii="黑体" w:hAnsi="黑体" w:eastAsia="黑体" w:cs="Times New Roman"/>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overflowPunct w:val="0"/>
        <w:autoSpaceDE w:val="0"/>
        <w:autoSpaceDN w:val="0"/>
        <w:adjustRightInd w:val="0"/>
        <w:snapToGrid w:val="0"/>
        <w:spacing w:line="600" w:lineRule="exact"/>
        <w:outlineLvl w:val="0"/>
        <w:rPr>
          <w:rFonts w:ascii="楷体" w:hAnsi="楷体" w:eastAsia="楷体" w:cs="Times New Roman"/>
          <w:sz w:val="32"/>
          <w:szCs w:val="32"/>
        </w:rPr>
      </w:pPr>
      <w:r>
        <w:rPr>
          <w:rFonts w:ascii="楷体" w:hAnsi="楷体" w:eastAsia="楷体" w:cs="楷体"/>
          <w:kern w:val="0"/>
          <w:sz w:val="32"/>
          <w:szCs w:val="32"/>
        </w:rPr>
        <w:t xml:space="preserve">   </w:t>
      </w:r>
      <w:r>
        <w:rPr>
          <w:rFonts w:hint="eastAsia" w:ascii="楷体" w:hAnsi="楷体" w:eastAsia="楷体" w:cs="楷体"/>
          <w:kern w:val="0"/>
          <w:sz w:val="32"/>
          <w:szCs w:val="32"/>
        </w:rPr>
        <w:t>（一）机关运行经费情况</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Times New Roman"/>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年机关运行经费预算</w:t>
      </w:r>
      <w:r>
        <w:rPr>
          <w:rFonts w:ascii="仿宋_GB2312" w:hAnsi="仿宋_GB2312" w:eastAsia="仿宋_GB2312" w:cs="仿宋_GB2312"/>
          <w:sz w:val="32"/>
          <w:szCs w:val="32"/>
        </w:rPr>
        <w:t>5.34</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overflowPunct w:val="0"/>
        <w:autoSpaceDE w:val="0"/>
        <w:autoSpaceDN w:val="0"/>
        <w:adjustRightInd w:val="0"/>
        <w:snapToGrid w:val="0"/>
        <w:spacing w:line="600" w:lineRule="exact"/>
        <w:outlineLvl w:val="0"/>
        <w:rPr>
          <w:rFonts w:ascii="楷体" w:hAnsi="楷体" w:eastAsia="楷体" w:cs="Times New Roman"/>
          <w:kern w:val="0"/>
          <w:sz w:val="32"/>
          <w:szCs w:val="32"/>
        </w:rPr>
      </w:pPr>
      <w:r>
        <w:rPr>
          <w:rFonts w:ascii="楷体" w:hAnsi="楷体" w:eastAsia="楷体" w:cs="楷体"/>
          <w:kern w:val="0"/>
          <w:sz w:val="32"/>
          <w:szCs w:val="32"/>
        </w:rPr>
        <w:t xml:space="preserve">   </w:t>
      </w:r>
      <w:r>
        <w:rPr>
          <w:rFonts w:hint="eastAsia" w:ascii="楷体" w:hAnsi="楷体" w:eastAsia="楷体" w:cs="楷体"/>
          <w:kern w:val="0"/>
          <w:sz w:val="32"/>
          <w:szCs w:val="32"/>
        </w:rPr>
        <w:t>（二）政府采购支出情况</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Times New Roman"/>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我单位无</w:t>
      </w:r>
      <w:r>
        <w:rPr>
          <w:rFonts w:hint="eastAsia" w:ascii="仿宋_GB2312" w:hAnsi="仿宋_GB2312" w:eastAsia="仿宋_GB2312" w:cs="仿宋_GB2312"/>
          <w:sz w:val="32"/>
          <w:szCs w:val="32"/>
        </w:rPr>
        <w:t>政府采购预算安排。</w:t>
      </w:r>
    </w:p>
    <w:p>
      <w:pPr>
        <w:kinsoku w:val="0"/>
        <w:overflowPunct w:val="0"/>
        <w:autoSpaceDE w:val="0"/>
        <w:autoSpaceDN w:val="0"/>
        <w:adjustRightInd w:val="0"/>
        <w:snapToGrid w:val="0"/>
        <w:spacing w:line="600" w:lineRule="exact"/>
        <w:outlineLvl w:val="0"/>
        <w:rPr>
          <w:rFonts w:ascii="楷体" w:hAnsi="楷体" w:eastAsia="楷体" w:cs="Times New Roman"/>
          <w:kern w:val="0"/>
          <w:sz w:val="32"/>
          <w:szCs w:val="32"/>
        </w:rPr>
      </w:pPr>
      <w:r>
        <w:rPr>
          <w:rFonts w:ascii="楷体" w:hAnsi="楷体" w:eastAsia="楷体" w:cs="楷体"/>
          <w:kern w:val="0"/>
          <w:sz w:val="32"/>
          <w:szCs w:val="32"/>
        </w:rPr>
        <w:t xml:space="preserve">   </w:t>
      </w:r>
      <w:r>
        <w:rPr>
          <w:rFonts w:hint="eastAsia" w:ascii="楷体" w:hAnsi="楷体" w:eastAsia="楷体" w:cs="楷体"/>
          <w:kern w:val="0"/>
          <w:sz w:val="32"/>
          <w:szCs w:val="32"/>
        </w:rPr>
        <w:t>（三）关于预算绩效管理工作开展情况说明</w:t>
      </w:r>
    </w:p>
    <w:p>
      <w:pPr>
        <w:kinsoku w:val="0"/>
        <w:overflowPunct w:val="0"/>
        <w:autoSpaceDE w:val="0"/>
        <w:autoSpaceDN w:val="0"/>
        <w:adjustRightInd w:val="0"/>
        <w:snapToGrid w:val="0"/>
        <w:spacing w:line="600" w:lineRule="exact"/>
        <w:ind w:firstLine="3168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2017年，我单位未开展绩效评价。</w:t>
      </w:r>
      <w:r>
        <w:rPr>
          <w:sz w:val="28"/>
          <w:szCs w:val="28"/>
        </w:rPr>
        <w:t xml:space="preserve"> </w:t>
      </w:r>
      <w:r>
        <w:rPr>
          <w:rFonts w:hint="eastAsia" w:ascii="仿宋_GB2312" w:hAnsi="仿宋_GB2312" w:eastAsia="仿宋_GB2312" w:cs="仿宋_GB2312"/>
          <w:sz w:val="32"/>
          <w:szCs w:val="32"/>
          <w:lang w:val="en-US" w:eastAsia="zh-CN"/>
        </w:rPr>
        <w:t>2018年，我单位部门预算纳入绩效管理的支出总额为159.05万元，其中人员经费支出82.71万元，公用经费支出5.34万元，支出项目共7个，支出总额71万元.</w:t>
      </w:r>
    </w:p>
    <w:p>
      <w:pPr>
        <w:kinsoku w:val="0"/>
        <w:overflowPunct w:val="0"/>
        <w:autoSpaceDE w:val="0"/>
        <w:autoSpaceDN w:val="0"/>
        <w:adjustRightInd w:val="0"/>
        <w:snapToGrid w:val="0"/>
        <w:spacing w:line="600" w:lineRule="exact"/>
        <w:ind w:firstLine="3168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（四）国有资产占用情况</w:t>
      </w:r>
    </w:p>
    <w:p>
      <w:pPr>
        <w:kinsoku w:val="0"/>
        <w:overflowPunct w:val="0"/>
        <w:autoSpaceDE w:val="0"/>
        <w:autoSpaceDN w:val="0"/>
        <w:adjustRightInd w:val="0"/>
        <w:snapToGrid w:val="0"/>
        <w:spacing w:line="600" w:lineRule="exact"/>
        <w:ind w:firstLine="3168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期末，温县体育局固定资产总额428.795万元，其中，房屋建筑物327.256万元，车辆8.8791万元。共有车辆1辆，其中：一般公务用车1辆，执法执勤车0辆；单价50万元以上通用设备0台（套），单位价值100万元以上专用设备0台（套）。</w:t>
      </w:r>
    </w:p>
    <w:p>
      <w:pPr>
        <w:adjustRightInd w:val="0"/>
        <w:snapToGrid w:val="0"/>
        <w:spacing w:line="600" w:lineRule="exact"/>
        <w:jc w:val="center"/>
        <w:rPr>
          <w:rFonts w:ascii="方正小标宋简体" w:hAnsi="方正小标宋简体" w:eastAsia="方正小标宋简体" w:cs="Times New Roman"/>
          <w:sz w:val="32"/>
          <w:szCs w:val="32"/>
        </w:rPr>
      </w:pPr>
      <w:r>
        <w:rPr>
          <w:rFonts w:hint="eastAsia" w:ascii="方正小标宋简体" w:hAnsi="方正小标宋简体" w:eastAsia="方正小标宋简体" w:cs="方正小标宋简体"/>
          <w:sz w:val="32"/>
          <w:szCs w:val="32"/>
        </w:rPr>
        <w:t>第三部分</w:t>
      </w:r>
      <w:r>
        <w:rPr>
          <w:rFonts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rPr>
        <w:t>名词解释</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一、财政拨款收入：是指县财政当年拨付的资金。</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二、事业收入：是指事业单位开展专业活动及辅助活动所取</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得的收入。</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三、其他收入：是指部门取得的除“财政拨款”、“事业收入”、“事业单位经营收入”等以外的收入。</w:t>
      </w:r>
      <w:r>
        <w:rPr>
          <w:rFonts w:ascii="仿宋_GB2312" w:hAnsi="仿宋_GB2312" w:eastAsia="仿宋_GB2312" w:cs="仿宋_GB2312"/>
          <w:sz w:val="32"/>
          <w:szCs w:val="32"/>
        </w:rPr>
        <w:t xml:space="preserve"> </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五、项目支出：是指在基本支出之外，为完成特定的行政工作任务或事业发展目标所发生的支出。</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600" w:lineRule="exact"/>
        <w:ind w:firstLine="31680" w:firstLineChars="200"/>
        <w:rPr>
          <w:rFonts w:hint="eastAsia" w:ascii="仿宋_GB2312" w:hAnsi="仿宋_GB2312" w:eastAsia="仿宋_GB2312" w:cs="仿宋_GB2312"/>
          <w:sz w:val="32"/>
          <w:szCs w:val="32"/>
        </w:rPr>
      </w:pPr>
      <w:r>
        <w:rPr>
          <w:rFonts w:hint="eastAsia" w:ascii="仿宋_GB2312" w:hAnsi="宋体" w:eastAsia="仿宋_GB2312" w:cs="仿宋_GB2312"/>
          <w:sz w:val="32"/>
          <w:szCs w:val="32"/>
        </w:rPr>
        <w:t>七、机关运行经费：是指为保障行政</w:t>
      </w:r>
      <w:r>
        <w:rPr>
          <w:rFonts w:hint="eastAsia" w:ascii="仿宋_GB2312" w:hAnsi="仿宋_GB2312" w:eastAsia="仿宋_GB2312" w:cs="仿宋_GB2312"/>
          <w:sz w:val="32"/>
          <w:szCs w:val="32"/>
        </w:rPr>
        <w:t>机构正常运转及正常履职需要的办公费、水电费、日常维修、物业费、维修费、差旅费、</w:t>
      </w:r>
      <w:r>
        <w:rPr>
          <w:rFonts w:hint="eastAsia" w:ascii="仿宋_GB2312" w:hAnsi="宋体" w:eastAsia="仿宋_GB2312" w:cs="仿宋_GB2312"/>
          <w:sz w:val="32"/>
          <w:szCs w:val="32"/>
        </w:rPr>
        <w:t>公务用车运行维护费以及其他费用</w:t>
      </w:r>
      <w:r>
        <w:rPr>
          <w:rFonts w:hint="eastAsia" w:ascii="仿宋_GB2312" w:hAnsi="仿宋_GB2312" w:eastAsia="仿宋_GB2312" w:cs="仿宋_GB2312"/>
          <w:sz w:val="32"/>
          <w:szCs w:val="32"/>
        </w:rPr>
        <w:t>等支出。</w:t>
      </w:r>
    </w:p>
    <w:p>
      <w:pPr>
        <w:kinsoku w:val="0"/>
        <w:overflowPunct w:val="0"/>
        <w:autoSpaceDE w:val="0"/>
        <w:autoSpaceDN w:val="0"/>
        <w:adjustRightInd w:val="0"/>
        <w:snapToGrid w:val="0"/>
        <w:spacing w:line="600" w:lineRule="exact"/>
        <w:ind w:firstLine="3168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八、武术之乡建设经费：是指保障太极拳、各种武术活动正常运行经费培训费等支出。</w:t>
      </w:r>
    </w:p>
    <w:p>
      <w:pPr>
        <w:kinsoku w:val="0"/>
        <w:overflowPunct w:val="0"/>
        <w:autoSpaceDE w:val="0"/>
        <w:autoSpaceDN w:val="0"/>
        <w:adjustRightInd w:val="0"/>
        <w:snapToGrid w:val="0"/>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adjustRightInd w:val="0"/>
        <w:snapToGrid w:val="0"/>
        <w:spacing w:line="60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附件：体育局</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年度部门预算表</w:t>
      </w:r>
    </w:p>
    <w:p>
      <w:pPr>
        <w:spacing w:line="600" w:lineRule="exact"/>
        <w:rPr>
          <w:rFonts w:ascii="仿宋_GB2312" w:hAnsi="仿宋_GB2312" w:eastAsia="仿宋_GB2312" w:cs="Times New Roman"/>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等线 Light">
    <w:altName w:val="宋体"/>
    <w:panose1 w:val="02010600030101010101"/>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00" w:usb3="00000000" w:csb0="00040000" w:csb1="00000000"/>
  </w:font>
  <w:font w:name="Times New Roman CE">
    <w:altName w:val="Times New Roman"/>
    <w:panose1 w:val="00000000000000000000"/>
    <w:charset w:val="EE"/>
    <w:family w:val="auto"/>
    <w:pitch w:val="default"/>
    <w:sig w:usb0="00000000" w:usb1="00000000" w:usb2="00000000" w:usb3="00000000" w:csb0="00000002" w:csb1="00000000"/>
  </w:font>
  <w:font w:name="Times New Roman Cyr">
    <w:altName w:val="Times New Roman"/>
    <w:panose1 w:val="00000000000000000000"/>
    <w:charset w:val="CC"/>
    <w:family w:val="auto"/>
    <w:pitch w:val="default"/>
    <w:sig w:usb0="00000000" w:usb1="00000000" w:usb2="00000000" w:usb3="00000000" w:csb0="00000004" w:csb1="00000000"/>
  </w:font>
  <w:font w:name="Times New Roman Greek">
    <w:altName w:val="Times New Roman"/>
    <w:panose1 w:val="00000000000000000000"/>
    <w:charset w:val="A1"/>
    <w:family w:val="auto"/>
    <w:pitch w:val="default"/>
    <w:sig w:usb0="00000000" w:usb1="00000000" w:usb2="00000000" w:usb3="00000000" w:csb0="00000008" w:csb1="00000000"/>
  </w:font>
  <w:font w:name="Times New Roman Tur">
    <w:altName w:val="Times New Roman"/>
    <w:panose1 w:val="00000000000000000000"/>
    <w:charset w:val="A2"/>
    <w:family w:val="auto"/>
    <w:pitch w:val="default"/>
    <w:sig w:usb0="00000000" w:usb1="00000000" w:usb2="00000000" w:usb3="00000000" w:csb0="00000010" w:csb1="00000000"/>
  </w:font>
  <w:font w:name="Times New Roman (Hebrew)">
    <w:altName w:val="Times New Roman"/>
    <w:panose1 w:val="00000000000000000000"/>
    <w:charset w:val="B1"/>
    <w:family w:val="auto"/>
    <w:pitch w:val="default"/>
    <w:sig w:usb0="00000000" w:usb1="00000000" w:usb2="00000000" w:usb3="00000000" w:csb0="00000020" w:csb1="00000000"/>
  </w:font>
  <w:font w:name="Times New Roman (Arabic)">
    <w:altName w:val="Times New Roman"/>
    <w:panose1 w:val="00000000000000000000"/>
    <w:charset w:val="B2"/>
    <w:family w:val="auto"/>
    <w:pitch w:val="default"/>
    <w:sig w:usb0="00000000" w:usb1="00000000" w:usb2="00000000" w:usb3="00000000" w:csb0="00000040" w:csb1="00000000"/>
  </w:font>
  <w:font w:name="Times New Roman Baltic">
    <w:altName w:val="Times New Roman"/>
    <w:panose1 w:val="00000000000000000000"/>
    <w:charset w:val="BA"/>
    <w:family w:val="auto"/>
    <w:pitch w:val="default"/>
    <w:sig w:usb0="00000000" w:usb1="00000000" w:usb2="00000000" w:usb3="00000000" w:csb0="00000080"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SimSun Western">
    <w:altName w:val="宋体"/>
    <w:panose1 w:val="00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Cambria Math CE">
    <w:altName w:val="Cambria"/>
    <w:panose1 w:val="00000000000000000000"/>
    <w:charset w:val="EE"/>
    <w:family w:val="auto"/>
    <w:pitch w:val="default"/>
    <w:sig w:usb0="00000000" w:usb1="00000000" w:usb2="00000000" w:usb3="00000000" w:csb0="00000002" w:csb1="00000000"/>
  </w:font>
  <w:font w:name="Cambria Math Cyr">
    <w:altName w:val="Cambria"/>
    <w:panose1 w:val="00000000000000000000"/>
    <w:charset w:val="CC"/>
    <w:family w:val="auto"/>
    <w:pitch w:val="default"/>
    <w:sig w:usb0="00000000" w:usb1="00000000" w:usb2="00000000" w:usb3="00000000" w:csb0="00000004" w:csb1="00000000"/>
  </w:font>
  <w:font w:name="Cambria Math Greek">
    <w:altName w:val="Cambria"/>
    <w:panose1 w:val="00000000000000000000"/>
    <w:charset w:val="A1"/>
    <w:family w:val="auto"/>
    <w:pitch w:val="default"/>
    <w:sig w:usb0="00000000" w:usb1="00000000" w:usb2="00000000" w:usb3="00000000" w:csb0="00000008" w:csb1="00000000"/>
  </w:font>
  <w:font w:name="Cambria Math Tur">
    <w:altName w:val="Cambria"/>
    <w:panose1 w:val="00000000000000000000"/>
    <w:charset w:val="A2"/>
    <w:family w:val="auto"/>
    <w:pitch w:val="default"/>
    <w:sig w:usb0="00000000" w:usb1="00000000" w:usb2="00000000" w:usb3="00000000" w:csb0="00000010" w:csb1="00000000"/>
  </w:font>
  <w:font w:name="Cambria Math Baltic">
    <w:altName w:val="Cambria"/>
    <w:panose1 w:val="00000000000000000000"/>
    <w:charset w:val="BA"/>
    <w:family w:val="auto"/>
    <w:pitch w:val="default"/>
    <w:sig w:usb0="00000000" w:usb1="00000000" w:usb2="00000000" w:usb3="00000000" w:csb0="00000080" w:csb1="00000000"/>
  </w:font>
  <w:font w:name="Cambria Math (Vietnamese)">
    <w:altName w:val="Cambria"/>
    <w:panose1 w:val="00000000000000000000"/>
    <w:charset w:val="A3"/>
    <w:family w:val="auto"/>
    <w:pitch w:val="default"/>
    <w:sig w:usb0="00000000" w:usb1="00000000" w:usb2="00000000" w:usb3="00000000" w:csb0="00000100" w:csb1="00000000"/>
  </w:font>
  <w:font w:name="Calibri CE">
    <w:altName w:val="Calibri"/>
    <w:panose1 w:val="00000000000000000000"/>
    <w:charset w:val="EE"/>
    <w:family w:val="auto"/>
    <w:pitch w:val="default"/>
    <w:sig w:usb0="00000000" w:usb1="00000000" w:usb2="00000000" w:usb3="00000000" w:csb0="00000002" w:csb1="00000000"/>
  </w:font>
  <w:font w:name="Calibri Cyr">
    <w:altName w:val="Calibri"/>
    <w:panose1 w:val="00000000000000000000"/>
    <w:charset w:val="CC"/>
    <w:family w:val="auto"/>
    <w:pitch w:val="default"/>
    <w:sig w:usb0="00000000" w:usb1="00000000" w:usb2="00000000" w:usb3="00000000" w:csb0="00000004" w:csb1="00000000"/>
  </w:font>
  <w:font w:name="Calibri Greek">
    <w:altName w:val="Calibri"/>
    <w:panose1 w:val="00000000000000000000"/>
    <w:charset w:val="A1"/>
    <w:family w:val="auto"/>
    <w:pitch w:val="default"/>
    <w:sig w:usb0="00000000" w:usb1="00000000" w:usb2="00000000" w:usb3="00000000" w:csb0="00000008" w:csb1="00000000"/>
  </w:font>
  <w:font w:name="Calibri Tur">
    <w:altName w:val="Calibri"/>
    <w:panose1 w:val="00000000000000000000"/>
    <w:charset w:val="A2"/>
    <w:family w:val="auto"/>
    <w:pitch w:val="default"/>
    <w:sig w:usb0="00000000" w:usb1="00000000" w:usb2="00000000" w:usb3="00000000" w:csb0="00000010" w:csb1="00000000"/>
  </w:font>
  <w:font w:name="Calibri Baltic">
    <w:altName w:val="Calibri"/>
    <w:panose1 w:val="00000000000000000000"/>
    <w:charset w:val="BA"/>
    <w:family w:val="auto"/>
    <w:pitch w:val="default"/>
    <w:sig w:usb0="00000000" w:usb1="00000000" w:usb2="00000000" w:usb3="00000000" w:csb0="00000080" w:csb1="00000000"/>
  </w:font>
  <w:font w:name="Calibri (Vietnamese)">
    <w:altName w:val="Calibri"/>
    <w:panose1 w:val="00000000000000000000"/>
    <w:charset w:val="A3"/>
    <w:family w:val="auto"/>
    <w:pitch w:val="default"/>
    <w:sig w:usb0="00000000" w:usb1="00000000" w:usb2="00000000" w:usb3="00000000" w:csb0="00000100" w:csb1="00000000"/>
  </w:font>
  <w:font w:name="DengXian Light Western">
    <w:altName w:val="Segoe Print"/>
    <w:panose1 w:val="00000000000000000000"/>
    <w:charset w:val="00"/>
    <w:family w:val="auto"/>
    <w:pitch w:val="default"/>
    <w:sig w:usb0="00000000" w:usb1="00000000" w:usb2="00000000" w:usb3="00000000" w:csb0="00000001" w:csb1="00000000"/>
  </w:font>
  <w:font w:name="DengXian Light CE">
    <w:altName w:val="Segoe Print"/>
    <w:panose1 w:val="00000000000000000000"/>
    <w:charset w:val="EE"/>
    <w:family w:val="auto"/>
    <w:pitch w:val="default"/>
    <w:sig w:usb0="00000000" w:usb1="00000000" w:usb2="00000000" w:usb3="00000000" w:csb0="00000002" w:csb1="00000000"/>
  </w:font>
  <w:font w:name="DengXian Light Cyr">
    <w:altName w:val="MingLiU"/>
    <w:panose1 w:val="00000000000000000000"/>
    <w:charset w:val="CC"/>
    <w:family w:val="auto"/>
    <w:pitch w:val="default"/>
    <w:sig w:usb0="00000000" w:usb1="00000000" w:usb2="00000000" w:usb3="00000000" w:csb0="00000004" w:csb1="00000000"/>
  </w:font>
  <w:font w:name="DengXian Light Greek">
    <w:altName w:val="MingLiU"/>
    <w:panose1 w:val="00000000000000000000"/>
    <w:charset w:val="A1"/>
    <w:family w:val="auto"/>
    <w:pitch w:val="default"/>
    <w:sig w:usb0="00000000" w:usb1="00000000" w:usb2="00000000" w:usb3="00000000" w:csb0="00000008" w:csb1="00000000"/>
  </w:font>
  <w:font w:name="DengXian Western">
    <w:altName w:val="Segoe Print"/>
    <w:panose1 w:val="00000000000000000000"/>
    <w:charset w:val="00"/>
    <w:family w:val="auto"/>
    <w:pitch w:val="default"/>
    <w:sig w:usb0="00000000" w:usb1="00000000" w:usb2="00000000" w:usb3="00000000" w:csb0="00000001" w:csb1="00000000"/>
  </w:font>
  <w:font w:name="DengXian CE">
    <w:altName w:val="Segoe Print"/>
    <w:panose1 w:val="00000000000000000000"/>
    <w:charset w:val="EE"/>
    <w:family w:val="auto"/>
    <w:pitch w:val="default"/>
    <w:sig w:usb0="00000000" w:usb1="00000000" w:usb2="00000000" w:usb3="00000000" w:csb0="00000002" w:csb1="00000000"/>
  </w:font>
  <w:font w:name="DengXian Cyr">
    <w:altName w:val="MingLiU"/>
    <w:panose1 w:val="00000000000000000000"/>
    <w:charset w:val="CC"/>
    <w:family w:val="auto"/>
    <w:pitch w:val="default"/>
    <w:sig w:usb0="00000000" w:usb1="00000000" w:usb2="00000000" w:usb3="00000000" w:csb0="00000004" w:csb1="00000000"/>
  </w:font>
  <w:font w:name="DengXian Greek">
    <w:altName w:val="MingLiU"/>
    <w:panose1 w:val="00000000000000000000"/>
    <w:charset w:val="A1"/>
    <w:family w:val="auto"/>
    <w:pitch w:val="default"/>
    <w:sig w:usb0="00000000" w:usb1="00000000" w:usb2="00000000" w:usb3="00000000" w:csb0="00000008" w:csb1="00000000"/>
  </w:font>
  <w:font w:name="HakusyuGyosyoPro_kk">
    <w:altName w:val="MS UI Gothic"/>
    <w:panose1 w:val="02000609000000000000"/>
    <w:charset w:val="80"/>
    <w:family w:val="auto"/>
    <w:pitch w:val="default"/>
    <w:sig w:usb0="A00002BF" w:usb1="68C7FCFB" w:usb2="00000010"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5138474">
    <w:nsid w:val="5A4F2DAA"/>
    <w:multiLevelType w:val="singleLevel"/>
    <w:tmpl w:val="5A4F2DAA"/>
    <w:lvl w:ilvl="0" w:tentative="1">
      <w:start w:val="1"/>
      <w:numFmt w:val="chineseCounting"/>
      <w:suff w:val="nothing"/>
      <w:lvlText w:val="（%1）"/>
      <w:lvlJc w:val="left"/>
      <w:rPr>
        <w:rFonts w:cs="Times New Roman"/>
      </w:rPr>
    </w:lvl>
  </w:abstractNum>
  <w:abstractNum w:abstractNumId="1517907436">
    <w:nsid w:val="5A796DEC"/>
    <w:multiLevelType w:val="singleLevel"/>
    <w:tmpl w:val="5A796DEC"/>
    <w:lvl w:ilvl="0" w:tentative="1">
      <w:start w:val="1"/>
      <w:numFmt w:val="chineseCounting"/>
      <w:suff w:val="nothing"/>
      <w:lvlText w:val="%1、"/>
      <w:lvlJc w:val="left"/>
      <w:rPr>
        <w:rFonts w:cs="Times New Roman"/>
      </w:rPr>
    </w:lvl>
  </w:abstractNum>
  <w:num w:numId="1">
    <w:abstractNumId w:val="1517907436"/>
  </w:num>
  <w:num w:numId="2">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0" w:name="Normal Indent" w:locked="1"/>
    <w:lsdException w:uiPriority="0" w:name="footnote text" w:locked="1"/>
    <w:lsdException w:uiPriority="0" w:name="annotation text" w:locked="1"/>
    <w:lsdException w:uiPriority="0" w:name="header" w:locked="1"/>
    <w:lsdException w:uiPriority="0" w:name="footer" w:locked="1"/>
    <w:lsdException w:uiPriority="0" w:name="index heading" w:locked="1"/>
    <w:lsdException w:qFormat="1" w:uiPriority="0" w:name="caption"/>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0" w:semiHidden="0" w:name="Strong"/>
    <w:lsdException w:qFormat="1" w:unhideWhenUsed="0" w:uiPriority="0" w:semiHidden="0" w:name="Emphasis"/>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0" w:name="annotation subject" w:locked="1"/>
    <w:lsdException w:uiPriority="0" w:name="Balloon Text" w:locked="1"/>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99"/>
  </w:style>
  <w:style w:type="paragraph" w:customStyle="1" w:styleId="3">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5</Pages>
  <Words>254</Words>
  <Characters>1450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崔龙</cp:lastModifiedBy>
  <cp:lastPrinted>2018-03-09T07:54:00Z</cp:lastPrinted>
  <dcterms:modified xsi:type="dcterms:W3CDTF">2019-03-17T08:56:24Z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