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温县统计局局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color w:val="000000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color w:val="000000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color w:val="000000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温县统计局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主要职能</w:t>
      </w:r>
    </w:p>
    <w:p>
      <w:pPr>
        <w:widowControl w:val="0"/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line="600" w:lineRule="exact"/>
        <w:ind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机构设置</w:t>
      </w:r>
    </w:p>
    <w:p>
      <w:pPr>
        <w:widowControl w:val="0"/>
        <w:numPr>
          <w:numId w:val="0"/>
        </w:numPr>
        <w:kinsoku w:val="0"/>
        <w:wordWrap/>
        <w:overflowPunct w:val="0"/>
        <w:adjustRightInd w:val="0"/>
        <w:snapToGrid w:val="0"/>
        <w:spacing w:line="60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温县统计局有6个内设机构：办公室、综合科、农调队、服务业科、能源科、工业科。</w:t>
      </w:r>
    </w:p>
    <w:p>
      <w:pPr>
        <w:widowControl w:val="0"/>
        <w:numPr>
          <w:numId w:val="0"/>
        </w:numPr>
        <w:kinsoku w:val="0"/>
        <w:wordWrap/>
        <w:overflowPunct w:val="0"/>
        <w:adjustRightInd w:val="0"/>
        <w:snapToGrid w:val="0"/>
        <w:spacing w:line="600" w:lineRule="exact"/>
        <w:ind w:right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部门职责</w:t>
      </w:r>
    </w:p>
    <w:p>
      <w:pPr>
        <w:widowControl w:val="0"/>
        <w:numPr>
          <w:numId w:val="0"/>
        </w:numPr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：1、县域经济运行数据检测2、第四次全国经济普查工作。3、全国1%人口抽样调查。4、投入产出调查。5、企业一套表调查。6、各类抽样调查和专项调查以及工业、农业、服务、消费、投资、住户、物价以及各类抽样调查和专项调查等工作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二、部门预算单位构成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我单位有二级机构2个，本预算为汇总预算，纳入我单位2018年部门预算编报范围的预算单位有：</w:t>
      </w:r>
    </w:p>
    <w:p>
      <w:pPr>
        <w:autoSpaceDE w:val="0"/>
        <w:autoSpaceDN w:val="0"/>
        <w:spacing w:line="360" w:lineRule="auto"/>
        <w:ind w:firstLine="640"/>
        <w:rPr>
          <w:rFonts w:hint="default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</w:rPr>
        <w:t>.社会经济调查中心</w:t>
      </w:r>
    </w:p>
    <w:p>
      <w:pPr>
        <w:autoSpaceDE w:val="0"/>
        <w:autoSpaceDN w:val="0"/>
        <w:spacing w:line="360" w:lineRule="auto"/>
        <w:ind w:firstLine="640"/>
        <w:rPr>
          <w:rFonts w:hint="default" w:ascii="Times New Roman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>2</w:t>
      </w:r>
      <w:r>
        <w:rPr>
          <w:rFonts w:hint="eastAsia" w:ascii="仿宋_GB2312" w:hAnsi="Times New Roman" w:eastAsia="仿宋_GB2312"/>
          <w:sz w:val="32"/>
        </w:rPr>
        <w:t>.普查中心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温县统计局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261.93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261.93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普查工作的增加10万元经费。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温县统计局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261.93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261.93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261.93万元，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温县统计局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261.93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174.83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66.8%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87.10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33.2%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4"/>
        <w:spacing w:line="600" w:lineRule="atLeast"/>
        <w:ind w:firstLine="64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四、财政拨款收入支出预算总体情况说明</w:t>
      </w:r>
    </w:p>
    <w:p>
      <w:pPr>
        <w:pStyle w:val="4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温县统计局2018年一般公共预算收支预算261.93万元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 w:cs="仿宋_GB2312"/>
          <w:sz w:val="32"/>
          <w:szCs w:val="32"/>
        </w:rPr>
        <w:t>政府性基金预算收支为0。与2017年相比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 w:cs="仿宋_GB2312"/>
          <w:sz w:val="32"/>
          <w:szCs w:val="32"/>
        </w:rPr>
        <w:t>一般公共预算收支预算增加了11.4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153</w:t>
      </w:r>
      <w:r>
        <w:rPr>
          <w:rFonts w:hint="eastAsia" w:ascii="仿宋_GB2312" w:eastAsia="仿宋_GB2312" w:cs="仿宋_GB2312"/>
          <w:sz w:val="32"/>
          <w:szCs w:val="32"/>
        </w:rPr>
        <w:t>万元，增长了4.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 w:cs="仿宋_GB2312"/>
          <w:sz w:val="32"/>
          <w:szCs w:val="32"/>
        </w:rPr>
        <w:t>%，主要原因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统计专项调查业务经费以及其他</w:t>
      </w:r>
      <w:r>
        <w:rPr>
          <w:rFonts w:hint="eastAsia" w:ascii="仿宋_GB2312" w:eastAsia="仿宋_GB2312" w:cs="仿宋_GB2312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增加</w:t>
      </w:r>
      <w:r>
        <w:rPr>
          <w:rFonts w:hint="eastAsia" w:ascii="仿宋_GB2312" w:eastAsia="仿宋_GB2312" w:cs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政府性基金收支增加0万元，增长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2017比保持一致，无变化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pacing w:line="600" w:lineRule="atLeast"/>
        <w:ind w:firstLine="64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五、一般公共预算支出预算情况说明</w:t>
      </w:r>
    </w:p>
    <w:p>
      <w:pPr>
        <w:pStyle w:val="4"/>
        <w:spacing w:line="600" w:lineRule="atLeas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温县统计局2018年一般公共预算支出年初预算为261.93万元。主要用于以下方面：一般公共服务支出229.83万元，占87.7%；社会保障和就业支出23.68万元，占9.04%；医疗卫生与计划生育支出8.42万元，占3.2%。</w:t>
      </w:r>
    </w:p>
    <w:p>
      <w:pPr>
        <w:pStyle w:val="4"/>
        <w:spacing w:line="600" w:lineRule="atLeast"/>
        <w:ind w:firstLine="64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六、一般公共预算基本支出预算情况说明</w:t>
      </w:r>
    </w:p>
    <w:p>
      <w:pPr>
        <w:pStyle w:val="4"/>
        <w:spacing w:line="60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温县统计局2018年一般公共预算基本支出174.83万元，其中：人员经费161.33万元，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sz w:val="32"/>
          <w:szCs w:val="32"/>
        </w:rPr>
        <w:t>基本工资、津贴补贴、绩效工资、机关事业单位基本养老保险缴费、医疗保险缴费、其他社会保障缴费、其他工资福利支出；公用经费13.50万元，主要包括：办公费、印刷费、邮电费、维修（护）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温县统计局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1.2万元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4.3万元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78.2%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0万元，</w:t>
      </w:r>
      <w:r>
        <w:rPr>
          <w:rFonts w:hint="eastAsia" w:ascii="仿宋_GB2312" w:hAnsi="仿宋_GB2312" w:eastAsia="仿宋_GB2312"/>
          <w:sz w:val="32"/>
        </w:rPr>
        <w:t>与2017年预算数持平，增长0%。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b/>
          <w:color w:val="000000"/>
          <w:spacing w:val="-1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其中公务车辆购置费0万元。与2017年数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/>
          <w:sz w:val="32"/>
          <w:lang w:eastAsia="zh-CN"/>
        </w:rPr>
        <w:t>，增长</w:t>
      </w:r>
      <w:r>
        <w:rPr>
          <w:rFonts w:hint="eastAsia" w:ascii="仿宋_GB2312" w:hAnsi="仿宋_GB2312" w:eastAsia="仿宋_GB2312"/>
          <w:sz w:val="32"/>
          <w:lang w:val="en-US" w:eastAsia="zh-CN"/>
        </w:rPr>
        <w:t>0%。</w:t>
      </w:r>
      <w:r>
        <w:rPr>
          <w:rFonts w:hint="eastAsia" w:ascii="仿宋_GB2312" w:hAnsi="仿宋_GB2312" w:eastAsia="仿宋_GB2312"/>
          <w:sz w:val="32"/>
        </w:rPr>
        <w:t>公车运行维护费0万元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/>
          <w:sz w:val="32"/>
          <w:lang w:eastAsia="zh-CN"/>
        </w:rPr>
        <w:t>，增长</w:t>
      </w:r>
      <w:r>
        <w:rPr>
          <w:rFonts w:hint="eastAsia" w:ascii="仿宋_GB2312" w:hAnsi="仿宋_GB2312" w:eastAsia="仿宋_GB2312"/>
          <w:sz w:val="32"/>
          <w:lang w:val="en-US" w:eastAsia="zh-CN"/>
        </w:rPr>
        <w:t>0%。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b/>
          <w:color w:val="auto"/>
          <w:spacing w:val="-1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万元，主要用于按规定开支的各类公务接待支出。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较2017年数减少4.3万元，下降78.2%。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贯彻厉行节约等规定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color w:val="000000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万元，主要保障机关机构正常运转及正常履职需要的办公费、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印刷费、邮电费、公务交通补贴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维修费用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，其中第四次经济普查购置计算机及网络设备一批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16万元，其他办公桌椅等2万元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2018年，我单位部门预算纳入绩效管理的支出总额为261.93万元，其中人员经费支出161.33万元，公用经费支出13.5万元，支出项目共4个，支出总额87.1万元.</w:t>
      </w:r>
    </w:p>
    <w:p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（四）国有资产占用情况</w:t>
      </w:r>
    </w:p>
    <w:p>
      <w:pPr>
        <w:pStyle w:val="2"/>
        <w:widowControl/>
        <w:spacing w:line="600" w:lineRule="atLeas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2017年期末，温县统计局固定资产总额49.85万元，其中，房屋建筑物0万元，车辆0万元。共有车辆0辆，其中：一般公务用车0辆，执法执勤车0辆；单价50万元以上通用设备0台（套），单位价值100万元以上专用设备0台（套）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color w:val="000000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八、第四次全国经济普查经费：用于第四次全国经济普查经费组织实施工作所需的会议费、培训费、宣传费等方面的支出。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温县统计局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CourierPS">
    <w:altName w:val="Segoe Print"/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15138474">
    <w:nsid w:val="5A4F2DAA"/>
    <w:multiLevelType w:val="multilevel"/>
    <w:tmpl w:val="5A4F2DAA"/>
    <w:lvl w:ilvl="0" w:tentative="1">
      <w:start w:val="1"/>
      <w:numFmt w:val="chineseCounting"/>
      <w:suff w:val="nothing"/>
      <w:lvlText w:val="（%1）"/>
      <w:lvlJc w:val="left"/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abstractNum w:abstractNumId="1541499045">
    <w:nsid w:val="5BE168A5"/>
    <w:multiLevelType w:val="singleLevel"/>
    <w:tmpl w:val="5BE168A5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17907436"/>
  </w:num>
  <w:num w:numId="2">
    <w:abstractNumId w:val="1541499045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4">
    <w:name w:val="p0"/>
    <w:basedOn w:val="1"/>
    <w:qFormat/>
    <w:uiPriority w:val="0"/>
    <w:pPr>
      <w:widowControl/>
    </w:pPr>
    <w:rPr>
      <w:rFonts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2018-11-08T10:11:33Z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