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年度温县太极拳武术文化管理中心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3168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仿宋_GB2312" w:hAnsi="仿宋_GB2312" w:eastAsia="仿宋_GB2312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第一部分概况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温县太极拳武术文化管理中心概况</w:t>
      </w:r>
    </w:p>
    <w:p>
      <w:pPr>
        <w:adjustRightInd w:val="0"/>
        <w:snapToGrid w:val="0"/>
        <w:spacing w:line="600" w:lineRule="exact"/>
        <w:ind w:firstLine="31680" w:firstLineChars="200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、事业部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、培训部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、外联部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、人才部。</w:t>
      </w:r>
    </w:p>
    <w:p>
      <w:pPr>
        <w:numPr>
          <w:ilvl w:val="0"/>
          <w:numId w:val="3"/>
        </w:numPr>
        <w:kinsoku w:val="0"/>
        <w:overflowPunct w:val="0"/>
        <w:adjustRightInd w:val="0"/>
        <w:snapToGrid w:val="0"/>
        <w:spacing w:line="600" w:lineRule="exact"/>
        <w:ind w:right="3569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部门职责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主要职责：充分发掘、弘扬和保护太极文化，做大做强太极拳产业、打造享誉世界太极圣地。太极拳工作的综合协调、督导落实、规划引导；太极拳业务、文化及衍生产业的管理和服务。</w:t>
      </w:r>
    </w:p>
    <w:p>
      <w:pPr>
        <w:numPr>
          <w:ilvl w:val="0"/>
          <w:numId w:val="1"/>
        </w:num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部门预算单位构成</w:t>
      </w:r>
    </w:p>
    <w:p>
      <w:pPr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我单位有二级机构0个，本预算为温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县太极拳武术文化管理中心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本级预算。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方正小标宋简体" w:hAnsi="方正小标宋简体" w:eastAsia="方正小标宋简体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温县太极拳武术文化管理中心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>30.68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30.68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年相比，收、支总计各减少</w:t>
      </w:r>
      <w:r>
        <w:rPr>
          <w:rFonts w:ascii="仿宋_GB2312" w:hAnsi="仿宋_GB2312" w:eastAsia="仿宋_GB2312" w:cs="仿宋_GB2312"/>
          <w:sz w:val="32"/>
          <w:szCs w:val="32"/>
        </w:rPr>
        <w:t>1.22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ascii="仿宋_GB2312" w:hAnsi="仿宋_GB2312" w:eastAsia="仿宋_GB2312" w:cs="仿宋_GB2312"/>
          <w:sz w:val="32"/>
          <w:szCs w:val="32"/>
        </w:rPr>
        <w:t>3.8%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。主要原因：单位人员减少。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温县太极拳武术文化管理中心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>30.68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>30.68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30.68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温县太极拳武术文化管理中心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30.68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30.68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温县太极拳武术文化管理中心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ascii="仿宋_GB2312" w:hAnsi="仿宋_GB2312" w:eastAsia="仿宋_GB2312" w:cs="仿宋_GB2312"/>
          <w:sz w:val="32"/>
          <w:szCs w:val="32"/>
        </w:rPr>
        <w:t>30.68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r>
        <w:rPr>
          <w:rFonts w:ascii="仿宋_GB2312" w:hAnsi="仿宋_GB2312" w:eastAsia="仿宋_GB2312" w:cs="仿宋_GB2312"/>
          <w:sz w:val="32"/>
          <w:szCs w:val="32"/>
        </w:rPr>
        <w:t>1.22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3.8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人员减少</w:t>
      </w:r>
      <w:r>
        <w:rPr>
          <w:rFonts w:hint="eastAsia" w:ascii="仿宋_GB2312" w:eastAsia="仿宋_GB2312"/>
          <w:sz w:val="32"/>
          <w:szCs w:val="32"/>
        </w:rPr>
        <w:t>；政府性基金收支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2017年度保持一致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温县太极拳武术文化管理中心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ascii="仿宋_GB2312" w:hAnsi="仿宋_GB2312" w:eastAsia="仿宋_GB2312" w:cs="仿宋_GB2312"/>
          <w:sz w:val="32"/>
          <w:szCs w:val="32"/>
        </w:rPr>
        <w:t>30.68</w:t>
      </w:r>
      <w:r>
        <w:rPr>
          <w:rFonts w:hint="eastAsia" w:ascii="仿宋_GB2312" w:eastAsia="仿宋_GB2312"/>
          <w:sz w:val="32"/>
          <w:szCs w:val="32"/>
        </w:rPr>
        <w:t>万元。主要用于以下方面：文化体育与传媒支出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24.33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79.3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4.69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15.3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1.66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5.4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温县太极拳武术文化管理中心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30.68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29.96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</w:t>
      </w:r>
      <w:r>
        <w:rPr>
          <w:rFonts w:hint="eastAsia" w:ascii="仿宋_GB2312" w:eastAsia="仿宋_GB2312"/>
          <w:sz w:val="32"/>
          <w:szCs w:val="32"/>
        </w:rPr>
        <w:t>基本工资、津贴补贴、绩效工资、机关事业单位基本养老保险缴费、医疗保险缴费、其他社会保障缴费；公用经费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0.72</w:t>
      </w:r>
      <w:r>
        <w:rPr>
          <w:rFonts w:hint="eastAsia" w:ascii="仿宋_GB2312" w:eastAsia="仿宋_GB2312"/>
          <w:sz w:val="32"/>
          <w:szCs w:val="32"/>
        </w:rPr>
        <w:t>万元，主要包括：办公费、印刷费、邮电费、差旅费。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温县太极拳武术文化管理中心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4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0万元,与2017年预算数持平，增长0%。</w:t>
      </w:r>
    </w:p>
    <w:p>
      <w:pPr>
        <w:numPr>
          <w:ilvl w:val="0"/>
          <w:numId w:val="4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与2017年预算数持平，增长0%，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与2017年持平，增长0%。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ascii="仿宋_GB2312" w:hAnsi="仿宋_GB2312" w:eastAsia="仿宋_GB2312" w:cs="仿宋_GB2312"/>
          <w:sz w:val="32"/>
          <w:szCs w:val="32"/>
        </w:rPr>
        <w:t>0.72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Times New Roman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Times New Roman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kern w:val="0"/>
          <w:sz w:val="32"/>
          <w:szCs w:val="32"/>
        </w:rPr>
        <w:t>（三）关于预算绩效管理工作开展情况说明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2017年，我单位未开展绩效评价。2018年，我单位部门预算纳入绩效管理的支出总额为30.68万元，其中人员经费支出29.96万元，公用经费支出0.72万元，支出项目共0个.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（四）国有资产占用情况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期末，温县太极拳武术文化管理中心固定资产总额0.6万元，其中，房屋建筑物0万元，车辆0万元。共有车辆0辆，其中：一般公务用车0辆，执法执勤车0辆；单价50万元以上通用设备0台（套），单位价值100万元以上专用设备0台（套）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仿宋_GB2312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八、武术之乡建设经费：是指保障太极拳、各种武术活动正常运行经费培训费等支出。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附件：温县太极拳武术文化管理中心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spacing w:line="600" w:lineRule="exact"/>
        <w:rPr>
          <w:rFonts w:ascii="仿宋_GB2312" w:hAns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CourierP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CourierP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CourierP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CourierP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Segoe Print">
    <w:altName w:val="Microsoft Sans Serif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  <w:rPr>
        <w:rFonts w:cs="Times New Roman"/>
      </w:rPr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536179777">
    <w:nsid w:val="5B903E41"/>
    <w:multiLevelType w:val="singleLevel"/>
    <w:tmpl w:val="5B903E41"/>
    <w:lvl w:ilvl="0" w:tentative="1">
      <w:start w:val="2"/>
      <w:numFmt w:val="chineseCounting"/>
      <w:suff w:val="nothing"/>
      <w:lvlText w:val="（%1）"/>
      <w:lvlJc w:val="left"/>
      <w:pPr>
        <w:ind w:left="640"/>
      </w:pPr>
      <w:rPr>
        <w:rFonts w:hint="eastAsia" w:cs="Times New Roman"/>
      </w:rPr>
    </w:lvl>
  </w:abstractNum>
  <w:num w:numId="1">
    <w:abstractNumId w:val="1517907436"/>
  </w:num>
  <w:num w:numId="2">
    <w:abstractNumId w:val="1520564614"/>
  </w:num>
  <w:num w:numId="3">
    <w:abstractNumId w:val="1536179777"/>
  </w:num>
  <w:num w:numId="4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iPriority="0" w:name="footer" w:locked="1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paragraph" w:customStyle="1" w:styleId="3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5</Pages>
  <Words>251</Words>
  <Characters>1431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预算T</cp:lastModifiedBy>
  <cp:lastPrinted>2018-03-09T07:54:00Z</cp:lastPrinted>
  <dcterms:modified xsi:type="dcterms:W3CDTF">2018-11-08T06:53:25Z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