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温县信访局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240" w:lineRule="exact"/>
        <w:ind w:left="-142" w:leftChars="0" w:right="51" w:firstLine="30" w:firstLineChars="7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widowControl/>
        <w:shd w:val="clear" w:color="040000" w:fill="FFFFFF"/>
        <w:spacing w:before="0" w:beforeAutospacing="0" w:after="0" w:afterAutospacing="0" w:line="252" w:lineRule="atLeast"/>
        <w:ind w:left="0" w:right="3569" w:firstLine="64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第一部分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 概况</w:t>
      </w:r>
    </w:p>
    <w:p>
      <w:pPr>
        <w:widowControl/>
        <w:shd w:val="clear" w:color="040000" w:fill="FFFFFF"/>
        <w:spacing w:before="0" w:beforeAutospacing="0" w:after="0" w:afterAutospacing="0" w:line="252" w:lineRule="atLeast"/>
        <w:ind w:left="0" w:right="3569" w:firstLine="96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一、主要职能</w:t>
      </w:r>
    </w:p>
    <w:p>
      <w:pPr>
        <w:widowControl/>
        <w:shd w:val="clear" w:color="040000" w:fill="FFFFFF"/>
        <w:spacing w:before="0" w:beforeAutospacing="0" w:after="0" w:afterAutospacing="0" w:line="252" w:lineRule="atLeast"/>
        <w:ind w:left="0" w:right="3569" w:firstLine="960"/>
        <w:jc w:val="left"/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二、部门预算单位构成</w:t>
      </w:r>
    </w:p>
    <w:p>
      <w:pPr>
        <w:widowControl w:val="0"/>
        <w:numPr>
          <w:ilvl w:val="0"/>
          <w:numId w:val="1"/>
        </w:numPr>
        <w:kinsoku w:val="0"/>
        <w:wordWrap/>
        <w:overflowPunct w:val="0"/>
        <w:adjustRightInd w:val="0"/>
        <w:snapToGrid w:val="0"/>
        <w:spacing w:line="560" w:lineRule="exact"/>
        <w:ind w:left="0" w:leftChars="0" w:right="521" w:firstLine="1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560" w:lineRule="exact"/>
        <w:ind w:left="0" w:leftChars="0" w:right="51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040000" w:fill="FFFFFF"/>
        <w:wordWrap/>
        <w:spacing w:before="0" w:beforeAutospacing="0" w:after="0" w:afterAutospacing="0" w:line="600" w:lineRule="atLeast"/>
        <w:ind w:left="0" w:right="0" w:firstLine="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 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第一部分</w:t>
      </w:r>
    </w:p>
    <w:p>
      <w:pPr>
        <w:widowControl/>
        <w:shd w:val="clear" w:color="040000" w:fill="FFFFFF"/>
        <w:wordWrap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>温县信访局概况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780" w:lineRule="exact"/>
        <w:ind w:leftChars="200" w:right="0" w:firstLine="320" w:firstLineChars="100"/>
        <w:jc w:val="both"/>
        <w:textAlignment w:val="auto"/>
        <w:outlineLvl w:val="9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</w:rPr>
        <w:t>主要职能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="0" w:line="780" w:lineRule="exact"/>
        <w:ind w:right="0" w:firstLine="640" w:firstLineChars="200"/>
        <w:jc w:val="both"/>
        <w:textAlignment w:val="auto"/>
        <w:outlineLvl w:val="9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</w:rPr>
        <w:t>机构设置情况</w:t>
      </w:r>
    </w:p>
    <w:p>
      <w:pPr>
        <w:widowControl/>
        <w:shd w:val="clear" w:color="auto" w:fill="FFFFFF"/>
        <w:wordWrap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温县信访局内设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5个职能科(室、局)。1、办公室、2、接访科、3、办信科、4、催查复查科、5、联席办理科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7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部门职责</w:t>
      </w:r>
    </w:p>
    <w:p>
      <w:pPr>
        <w:widowControl w:val="0"/>
        <w:numPr>
          <w:numId w:val="0"/>
        </w:numPr>
        <w:wordWrap/>
        <w:adjustRightInd/>
        <w:snapToGrid/>
        <w:spacing w:line="78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主要职</w:t>
      </w:r>
      <w:r>
        <w:rPr>
          <w:rFonts w:hint="eastAsia" w:ascii="仿宋_GB2312" w:eastAsia="仿宋_GB2312"/>
          <w:sz w:val="32"/>
          <w:szCs w:val="32"/>
          <w:lang w:eastAsia="zh-CN"/>
        </w:rPr>
        <w:t>责</w:t>
      </w:r>
      <w:r>
        <w:rPr>
          <w:rFonts w:hint="eastAsia" w:ascii="仿宋_GB2312" w:eastAsia="仿宋_GB2312"/>
          <w:sz w:val="32"/>
          <w:szCs w:val="32"/>
        </w:rPr>
        <w:t>是：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接待人民群众来访，提供人民群众来访信息，综合分析接访工作中的问题及经验教训，及时向领导提供接访工作信息；负责办理中央、省、市、县和部（局）领导、分管领导交办、转办的信访案件；负责督促检查向各乡镇及县直部门交办的信访案件；负责对全县各乡镇和县直部门接访工作的指导；负责协调有关部门、乡镇、处理赴京、到省、去市和来县的集体访以及群体性事件；协助处理到县委、县政府的群众集体上访工作；做好部（局）领导交办的其它工作。</w:t>
      </w:r>
    </w:p>
    <w:p>
      <w:pPr>
        <w:kinsoku w:val="0"/>
        <w:wordWrap/>
        <w:overflowPunct w:val="0"/>
        <w:adjustRightInd w:val="0"/>
        <w:snapToGrid w:val="0"/>
        <w:spacing w:line="52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我单位有二级机构0个，本预算为本级单位预算。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1.48%，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减少了矛盾调解中心经费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199.94万元，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62.2%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199.94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0.4487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0.22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2018年</w:t>
      </w:r>
      <w:r>
        <w:rPr>
          <w:rFonts w:hint="eastAsia" w:ascii="仿宋_GB2312" w:eastAsia="仿宋_GB2312"/>
          <w:sz w:val="32"/>
          <w:szCs w:val="32"/>
          <w:lang w:eastAsia="zh-CN"/>
        </w:rPr>
        <w:t>矛盾调解中心经费的减少</w:t>
      </w:r>
      <w:r>
        <w:rPr>
          <w:rFonts w:hint="eastAsia" w:ascii="仿宋_GB2312" w:eastAsia="仿宋_GB2312"/>
          <w:sz w:val="32"/>
          <w:szCs w:val="32"/>
        </w:rPr>
        <w:t>；政府性基金收支增加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199.94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177.52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16.55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5.87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124.41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116.62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 w:color="000000"/>
          <w:lang w:val="en-US" w:eastAsia="zh-CN" w:bidi="ar-SA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7.79</w:t>
      </w:r>
      <w:r>
        <w:rPr>
          <w:rFonts w:hint="eastAsia" w:ascii="仿宋_GB2312" w:eastAsia="仿宋_GB2312"/>
          <w:sz w:val="32"/>
          <w:szCs w:val="32"/>
        </w:rPr>
        <w:t>万元，主要包括：办公费、水费、邮电费、维修（护）费、培训费、公务接待费、其他交通费用。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58.4%，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下降原因是当年支出厉行节约形成。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5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0万元。预算数与2017年持平，增长0%。</w:t>
      </w:r>
    </w:p>
    <w:p>
      <w:pPr>
        <w:numPr>
          <w:ilvl w:val="0"/>
          <w:numId w:val="5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</w:rPr>
        <w:t>其中公务车辆购置费0万元。与2017年数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  <w:r>
        <w:rPr>
          <w:rFonts w:hint="eastAsia" w:ascii="仿宋_GB2312" w:hAnsi="仿宋_GB2312" w:eastAsia="仿宋_GB2312"/>
          <w:sz w:val="32"/>
        </w:rPr>
        <w:t>公车运行维护费0万元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万元，主要用于省、市督导检查，全国“两会”期间省、市督导检查按规定开支的各类公务接待支出。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比2017年减少0.28万元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58.4%，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公务接待量减少。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2017年，我单位未开展绩效评价。2018年，我单位部门预算纳入绩效管理的支出总额为199.94万元，其中人员经费支出116.62万元，公用经费支出7.79万元，支出项目共3个，支出总额75.53万元。 </w:t>
      </w:r>
    </w:p>
    <w:p>
      <w:pPr>
        <w:pStyle w:val="5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5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温县信访局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27.06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八、信访事务工作，用于我县接待群众来信来访工作方面的支出。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5822146">
    <w:nsid w:val="3BF3A0C2"/>
    <w:multiLevelType w:val="singleLevel"/>
    <w:tmpl w:val="3BF3A0C2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234541168">
    <w:nsid w:val="85306470"/>
    <w:multiLevelType w:val="singleLevel"/>
    <w:tmpl w:val="85306470"/>
    <w:lvl w:ilvl="0" w:tentative="1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3420950940">
    <w:nsid w:val="CBE7919C"/>
    <w:multiLevelType w:val="singleLevel"/>
    <w:tmpl w:val="CBE7919C"/>
    <w:lvl w:ilvl="0" w:tentative="1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855760242">
    <w:nsid w:val="3301DD72"/>
    <w:multiLevelType w:val="singleLevel"/>
    <w:tmpl w:val="3301DD72"/>
    <w:lvl w:ilvl="0" w:tentative="1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3420950940"/>
  </w:num>
  <w:num w:numId="2">
    <w:abstractNumId w:val="1005822146"/>
  </w:num>
  <w:num w:numId="3">
    <w:abstractNumId w:val="2234541168"/>
  </w:num>
  <w:num w:numId="4">
    <w:abstractNumId w:val="855760242"/>
  </w:num>
  <w:num w:numId="5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2018-11-08T10:16:46Z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