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年度第一高级中学预算公开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jc w:val="center"/>
      </w:pPr>
      <w:r>
        <w:rPr>
          <w:rFonts w:hint="eastAsia"/>
        </w:rPr>
        <w:t>第一部分</w:t>
      </w:r>
      <w:r>
        <w:t xml:space="preserve"> </w:t>
      </w:r>
      <w:r>
        <w:rPr>
          <w:rFonts w:hint="eastAsia"/>
        </w:rPr>
        <w:t>温县第一高级中学概况</w:t>
      </w:r>
    </w:p>
    <w:p>
      <w:pPr>
        <w:numPr>
          <w:numId w:val="0"/>
        </w:numPr>
        <w:kinsoku w:val="0"/>
        <w:overflowPunct w:val="0"/>
        <w:adjustRightInd w:val="0"/>
        <w:snapToGrid w:val="0"/>
        <w:spacing w:line="360" w:lineRule="auto"/>
        <w:ind w:right="26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主要职能</w:t>
      </w:r>
    </w:p>
    <w:p>
      <w:pPr>
        <w:numPr>
          <w:numId w:val="0"/>
        </w:numPr>
        <w:kinsoku w:val="0"/>
        <w:overflowPunct w:val="0"/>
        <w:adjustRightInd w:val="0"/>
        <w:snapToGrid w:val="0"/>
        <w:spacing w:line="360" w:lineRule="auto"/>
        <w:ind w:right="26"/>
        <w:jc w:val="lef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（一）机构设置情况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200" w:firstLine="643" w:firstLineChars="200"/>
        <w:jc w:val="left"/>
        <w:textAlignment w:val="auto"/>
        <w:rPr>
          <w:rFonts w:hint="eastAsia"/>
          <w:sz w:val="32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1、</w:t>
      </w:r>
      <w:r>
        <w:rPr>
          <w:rFonts w:hint="eastAsia"/>
          <w:sz w:val="32"/>
        </w:rPr>
        <w:t>办公室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2</w:t>
      </w:r>
      <w:r>
        <w:rPr>
          <w:rFonts w:hint="eastAsia"/>
          <w:sz w:val="32"/>
        </w:rPr>
        <w:t>、教务处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3</w:t>
      </w:r>
      <w:r>
        <w:rPr>
          <w:rFonts w:hint="eastAsia"/>
          <w:sz w:val="32"/>
        </w:rPr>
        <w:t>、总务处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/>
          <w:sz w:val="32"/>
        </w:rPr>
        <w:t>、政教处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5</w:t>
      </w:r>
      <w:r>
        <w:rPr>
          <w:rFonts w:hint="eastAsia"/>
          <w:sz w:val="32"/>
        </w:rPr>
        <w:t>、教科处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</w:rPr>
        <w:t>、团委</w:t>
      </w:r>
      <w:r>
        <w:rPr>
          <w:rFonts w:hint="eastAsia"/>
          <w:sz w:val="32"/>
          <w:lang w:eastAsia="zh-CN"/>
        </w:rPr>
        <w:t>。</w:t>
      </w: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sz w:val="32"/>
        </w:rPr>
        <w:t>、工会。</w:t>
      </w:r>
    </w:p>
    <w:p>
      <w:pPr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20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部门职责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200"/>
        <w:jc w:val="left"/>
        <w:textAlignment w:val="auto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                               </w:t>
      </w:r>
    </w:p>
    <w:p>
      <w:pPr>
        <w:kinsoku w:val="0"/>
        <w:overflowPunct w:val="0"/>
        <w:adjustRightInd w:val="0"/>
        <w:snapToGrid w:val="0"/>
        <w:spacing w:line="360" w:lineRule="auto"/>
        <w:ind w:right="26" w:firstLine="31680" w:firstLineChars="300"/>
        <w:jc w:val="left"/>
        <w:rPr>
          <w:rFonts w:ascii="宋体" w:cs="仿宋_GB2312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温县第一高级中学的主要职能：普通高中教育是在九年义务教育基础上进一步提高国民素质、面向大众的基础教育。普通高中教育为学生的终身发展奠定基础。普通高中教育应全面落实《国务院关于基础教育改革与发展的决定》所确定的基础教育培养目标，并特别强调使学生：初步形成正确的世界观、人生观、价值观；热爱社会主义祖国，热爱中国共产党，自觉维护国家尊严和利益，继承中华民族的优秀传统，弘扬民族精神，有为民族振兴和社会进步作贡献的志向与愿望；具有民主与法制意识，遵守国家法律和社会公德，具有维护社会正义，自觉行使公民的权利，履行公民的义务，对自己的行为负责，具有社会责任感；具有终身学习的愿望和能力，掌握适应时代发展需要的基础知识和基本技能，学会收集、判断和处理信息，具有初步的科学与人文素养、环境意识、创新精神与实践能力；具有强健的体魄、顽强的意志，形成积极健康的生活方式和审美情趣，初步具有独立生活的能力、职业意识、创业精神和人生规划能力；贯彻、执行教育法律法规和政策规定，坚持依法治教、依法治学；负责本单位教育教学管理及教研教改工作，全力推进素质教育及本单位教职工人事管理、继续教育、考核考评等工作。</w:t>
      </w:r>
      <w:r>
        <w:rPr>
          <w:rFonts w:ascii="宋体" w:hAnsi="宋体" w:cs="宋体"/>
          <w:bCs/>
          <w:kern w:val="0"/>
          <w:sz w:val="28"/>
          <w:szCs w:val="28"/>
        </w:rPr>
        <w:t xml:space="preserve">                               </w:t>
      </w:r>
    </w:p>
    <w:p>
      <w:pPr>
        <w:kinsoku w:val="0"/>
        <w:overflowPunct w:val="0"/>
        <w:adjustRightInd w:val="0"/>
        <w:snapToGrid w:val="0"/>
        <w:spacing w:line="360" w:lineRule="auto"/>
        <w:ind w:right="26" w:firstLine="31680" w:firstLineChars="300"/>
        <w:jc w:val="left"/>
        <w:rPr>
          <w:rFonts w:asci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二、部门预算单位构成</w:t>
      </w:r>
    </w:p>
    <w:p>
      <w:pPr>
        <w:ind w:firstLine="630"/>
        <w:rPr>
          <w:rFonts w:hint="default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我单位有二级机构</w:t>
      </w:r>
      <w:r>
        <w:rPr>
          <w:rFonts w:hint="eastAsia" w:ascii="仿宋_GB2312" w:hAnsi="仿宋_GB2312" w:eastAsia="仿宋_GB2312"/>
          <w:sz w:val="32"/>
          <w:lang w:val="en-US" w:eastAsia="zh-CN"/>
        </w:rPr>
        <w:t>0个，</w:t>
      </w:r>
      <w:r>
        <w:rPr>
          <w:rFonts w:hint="eastAsia" w:ascii="仿宋_GB2312" w:hAnsi="仿宋_GB2312" w:eastAsia="仿宋_GB2312"/>
          <w:sz w:val="32"/>
        </w:rPr>
        <w:t>本</w:t>
      </w:r>
      <w:r>
        <w:rPr>
          <w:rFonts w:hint="eastAsia" w:ascii="仿宋_GB2312" w:hAnsi="仿宋_GB2312" w:eastAsia="仿宋_GB2312"/>
          <w:sz w:val="32"/>
          <w:lang w:eastAsia="zh-CN"/>
        </w:rPr>
        <w:t>预</w:t>
      </w:r>
      <w:r>
        <w:rPr>
          <w:rFonts w:hint="eastAsia" w:ascii="仿宋_GB2312" w:hAnsi="仿宋_GB2312" w:eastAsia="仿宋_GB2312"/>
          <w:sz w:val="32"/>
        </w:rPr>
        <w:t>算为</w:t>
      </w:r>
      <w:r>
        <w:rPr>
          <w:rFonts w:hint="eastAsia" w:ascii="仿宋_GB2312" w:hAnsi="仿宋_GB2312" w:eastAsia="仿宋_GB2312"/>
          <w:sz w:val="32"/>
          <w:lang w:eastAsia="zh-CN"/>
        </w:rPr>
        <w:t>本级预</w:t>
      </w:r>
      <w:r>
        <w:rPr>
          <w:rFonts w:hint="eastAsia" w:ascii="仿宋_GB2312" w:hAnsi="仿宋_GB2312" w:eastAsia="仿宋_GB2312"/>
          <w:sz w:val="32"/>
        </w:rPr>
        <w:t>算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numPr>
          <w:numId w:val="0"/>
        </w:numPr>
        <w:kinsoku w:val="0"/>
        <w:overflowPunct w:val="0"/>
        <w:adjustRightInd w:val="0"/>
        <w:snapToGrid w:val="0"/>
        <w:spacing w:line="360" w:lineRule="auto"/>
        <w:ind w:right="26"/>
        <w:jc w:val="lef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600" w:lineRule="exact"/>
        <w:ind w:firstLine="31680" w:firstLineChars="1100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26" w:firstLine="31680" w:firstLineChars="300"/>
        <w:jc w:val="left"/>
        <w:rPr>
          <w:rFonts w:ascii="宋体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温县第一高级中学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3569.61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3569.61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5.76%。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学生人数增加，生均拨款经费增加，以及非税收入安排的支出增加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温县第一高级中学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3569.61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2705.54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2450.95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94.59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864.07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温县第一高级中学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3569.61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2679.95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75%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889.66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25%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温县第一高级中学2018年一般公共预算收支预算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3569.61</w:t>
      </w:r>
      <w:r>
        <w:rPr>
          <w:rFonts w:hint="eastAsia" w:ascii="仿宋_GB2312" w:eastAsia="仿宋_GB2312"/>
          <w:sz w:val="32"/>
          <w:szCs w:val="32"/>
        </w:rPr>
        <w:t>万元。政府性基金收支预算0万元，与 2017年相比，一般公共预算收支预算增加1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94.36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5.76</w:t>
      </w:r>
      <w:r>
        <w:rPr>
          <w:rFonts w:hint="eastAsia" w:ascii="仿宋_GB2312" w:eastAsia="仿宋_GB2312"/>
          <w:sz w:val="32"/>
          <w:szCs w:val="32"/>
        </w:rPr>
        <w:t>%，主要原因：人员工资和社保增加及本年财政拨改善普通高中改造资金160万元。政府性基金安排和2017年保持一致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温县第一高级中学2018年一般公共预算支出年初预算为2705.54万元。主要用于以下方面：教育支出2261.43万元，占84%；社会保障和就业支出327.91万元，占12%；医疗卫生与计划生育支出116.20万元，占4%。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一高级中学2018年一般公共预算基本支出2479.95万元，其中：人员经费2132.03万元，基本工资、津贴补贴、绩效工资、机关事业单位基本养老保险缴费、医疗保险缴费、其他社会保障缴费、其他工资福利支出；公用经费347.92万元，主要包括：办公费、印刷费、水费、电费、邮电费、差旅费、公务接待费、专用材料费、公务用车运行维护费、其他交通费用、其他商品和服务支出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温县第一高级中学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8.3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15.31%。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2017年数一致，增长0%。</w:t>
      </w:r>
    </w:p>
    <w:p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7.5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与2017年预算数持平，增长0%。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万元，用于组织教师参加各项观摩课学习、专家报告会、课程交流研讨等费用、组织学生参加各项竞赛、体育比赛、参加自主招生费用。预算数比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年减少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16.66%，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主要原因：师生外出学习租车费记入其他交通费用科目。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万元，主要用于与其他学校教学管理交流接待费。预算与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347.92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317.68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万元，其中：图书馆设备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万元、多媒体教室及监控设备</w:t>
      </w:r>
      <w:r>
        <w:rPr>
          <w:rFonts w:ascii="仿宋_GB2312" w:hAnsi="仿宋_GB2312" w:eastAsia="仿宋_GB2312" w:cs="仿宋_GB2312"/>
          <w:sz w:val="32"/>
          <w:szCs w:val="32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万元、阅览室桌椅</w:t>
      </w:r>
      <w:r>
        <w:rPr>
          <w:rFonts w:ascii="仿宋_GB2312" w:hAnsi="仿宋_GB2312" w:eastAsia="仿宋_GB2312" w:cs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万元、教学电脑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万元、图书馆会议室设备</w:t>
      </w:r>
      <w:r>
        <w:rPr>
          <w:rFonts w:ascii="仿宋_GB2312" w:hAnsi="仿宋_GB2312" w:eastAsia="仿宋_GB2312" w:cs="仿宋_GB2312"/>
          <w:sz w:val="32"/>
          <w:szCs w:val="32"/>
        </w:rPr>
        <w:t>27.68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万元、图书馆外电子屏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万元、图书馆空调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3569.61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2332.03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347.92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889.66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，其中预算支出30万元及以上应申报绩效的项目0个，支出总额0万元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期末，温县第一高级中学部门固定资产总额10216.69万元，其中，房屋建筑物6750.82万元，车辆30万元。共有车辆3辆，其中：一般公务用车3辆，（其中2辆为需报废车）；单价50万元以上通用设备0台（套），单位价值100万元以上专用设备0台（套）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adjustRightInd w:val="0"/>
        <w:snapToGrid w:val="0"/>
        <w:spacing w:line="600" w:lineRule="exact"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八、普通高中国家助学金平均资助标准为每生每年1500元，用于资助家庭经济困难学生的学习和生活费用开支，具体标准由各地结合实际在1000元-3000元范围内确定，可以分为2-3档。</w:t>
      </w:r>
      <w:bookmarkStart w:id="0" w:name="_GoBack"/>
      <w:bookmarkEnd w:id="0"/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附件：温县第一高级中学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sectPr>
      <w:pgSz w:w="11906" w:h="16838"/>
      <w:pgMar w:top="1440" w:right="1286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41466138">
    <w:nsid w:val="5BE0E81A"/>
    <w:multiLevelType w:val="singleLevel"/>
    <w:tmpl w:val="5BE0E81A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1541466138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99"/>
  </w:style>
  <w:style w:type="paragraph" w:customStyle="1" w:styleId="4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360</Words>
  <Characters>2055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2018-11-08T09:44:57Z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