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县委宣传部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Autospacing="0" w:afterAutospacing="0" w:line="580" w:lineRule="exact"/>
        <w:ind w:left="0" w:leftChars="0" w:right="3569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1、办公室、2、理论党教科、3、宣传文艺科、4、新闻科、5、网络管理办公室。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（二）部门职责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负责中央和省、市、县委路线、方针、政策的宣传工作。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负责指导全县的理论研究、理论学习和理论宣传工作。对县委党校进行业务指导。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负责引导社会舆论，对《焦作日报.温县版》编缉部、县新华书店进行管理，对县文化局、县广播电视中心实施方针政策的指导和管理。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负责规划、部署全县思想政治工作；会同有关部门做好党员教育工作，负责有关教材的编写、发行；会同有关部门研究和改进群众思想教育工作；指导县教委抓好学校思想政治工作。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宏观指导精神产品的生产和文化市场的管理。关系县文化局、县文联，并在政治方向和方针政策方面实施领导。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制定和实施全县对外宣传工作规划和意见，协调有关部门做好规划的贯彻落实工作；负责全县宣传设施的规划和管理；规划、协调和管理全县新闻网络建设。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负责制定和实施全县精神文明建设工作规划和意见，协调有关部门做好贯彻落实工作；负责全县文明单位创建工作。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受县委委托，会同县委组织部对县直宣传文化系统副科级以上领导干部进行考察；负责宣传文化部门二级机构负责人的考核、任免；负责其他干部的备案审查；指导系统各单位的领导班子建设和干部管理工作；组织对基层宣传干部的培训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贯彻落实中央和省、市、县委关于宣传文化事业发展的指导方针；指导宣传文化系统制定贯彻落实国家有关政策、法规的具体措施、规定；按照县委统一的工作部署，协调宣传文化系统各部门之间的工作关系。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完成县委交办的其他事项。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numPr>
          <w:numId w:val="0"/>
        </w:numPr>
        <w:shd w:val="clear" w:color="auto" w:fill="FFFFFF"/>
        <w:wordWrap/>
        <w:spacing w:before="0"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3个，本预算为汇总预算，纳入我单位2018年部门预算编报范围的预算单位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</w:rPr>
        <w:t>如下：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1、文化产业办公室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2、精神文明创建办公室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3、新闻办公室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人员工资增加。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383.16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343.16万元，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39.78%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21.8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6%</w:t>
      </w:r>
      <w:r>
        <w:rPr>
          <w:rFonts w:hint="eastAsia" w:ascii="仿宋_GB2312" w:eastAsia="仿宋_GB2312"/>
          <w:sz w:val="32"/>
          <w:szCs w:val="32"/>
        </w:rPr>
        <w:t>，主要原因：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人员工资增加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383.16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361.91万元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94.45%；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社会保障与就业支出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15.69万元，占比4.09%；医疗卫生与计划生育支出5.56万元，占比1.45%。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152.43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135.87</w:t>
      </w:r>
      <w:r>
        <w:rPr>
          <w:rFonts w:hint="eastAsia" w:ascii="仿宋_GB2312" w:eastAsia="仿宋_GB2312"/>
          <w:sz w:val="32"/>
          <w:szCs w:val="32"/>
        </w:rPr>
        <w:t>万元，基本工资、津贴补贴、绩效工资、机关事业单位基本养老保险缴费、医疗保险缴费、其他社会保障缴费、其他工资福利支出；公用经费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16.56</w:t>
      </w:r>
      <w:r>
        <w:rPr>
          <w:rFonts w:hint="eastAsia" w:ascii="仿宋_GB2312" w:eastAsia="仿宋_GB2312"/>
          <w:sz w:val="32"/>
          <w:szCs w:val="32"/>
        </w:rPr>
        <w:t>万元，主要包括：办公费、印刷费、邮电费、公务接待费、公务用车运行维护费、其他交通费用。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0万元，与2017年数持平，增长0%。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（二）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公车购置费为0，与2017年预算数持平，增长0%。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3.5万元，与2017年预算数持平，增长0%。主要用于新闻办记者采访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2017年数持平，增长0%。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接送、招待国家、省、市赴温采访的新闻媒体。接送记者参加县领导重要活动、全县重大活动进行新闻报道，深入基层一线采写新闻报道。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2017年，我单位未开展绩效评价。2018年，我单位部门预算纳入绩效管理的支出总额为383.16万元，其中人员经费支出135.87万元，公用经费支出16.56万元，支出项目共15个，支出总额230.73万元。</w:t>
      </w:r>
    </w:p>
    <w:p>
      <w:pPr>
        <w:pStyle w:val="4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4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县委宣传部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127.8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八、对外宣传费用，用于制定和实施全县对外宣传工作规划和意见，协调有关部门做好规划的贯彻落实工作；负责全县宣传设施的规划和管理；规划、协调和管理全县新闻网络建设等方面的支出。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04b_21">
    <w:altName w:val="hakuyoxingshu7000"/>
    <w:panose1 w:val="00000400000000000000"/>
    <w:charset w:val="00"/>
    <w:family w:val="auto"/>
    <w:pitch w:val="default"/>
    <w:sig w:usb0="00000000" w:usb1="00000000" w:usb2="00000000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2019-03-17T08:24:39Z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