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年度温县职业技术教育中心预算公开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温县职业技术教育中心概况</w:t>
      </w:r>
    </w:p>
    <w:p>
      <w:pPr>
        <w:adjustRightInd w:val="0"/>
        <w:snapToGrid w:val="0"/>
        <w:spacing w:line="600" w:lineRule="exact"/>
        <w:ind w:firstLine="3168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kinsoku w:val="0"/>
        <w:overflowPunct w:val="0"/>
        <w:adjustRightInd w:val="0"/>
        <w:snapToGrid w:val="0"/>
        <w:spacing w:line="600" w:lineRule="exact"/>
        <w:ind w:left="640" w:right="-58" w:firstLine="3168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 w:cs="宋体"/>
          <w:sz w:val="32"/>
          <w:szCs w:val="32"/>
        </w:rPr>
        <w:t>办公室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、教务处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、政教处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、总务处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、招生培训处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、校企合作办公室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、项目建设办公室。</w:t>
      </w:r>
    </w:p>
    <w:p>
      <w:pPr>
        <w:kinsoku w:val="0"/>
        <w:overflowPunct w:val="0"/>
        <w:adjustRightInd w:val="0"/>
        <w:snapToGrid w:val="0"/>
        <w:spacing w:line="600" w:lineRule="exact"/>
        <w:ind w:left="640" w:right="-5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kinsoku w:val="0"/>
        <w:overflowPunct w:val="0"/>
        <w:adjustRightInd w:val="0"/>
        <w:snapToGrid w:val="0"/>
        <w:spacing w:line="600" w:lineRule="exact"/>
        <w:ind w:left="640" w:right="-58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温县职教中心创建于</w:t>
      </w:r>
      <w:r>
        <w:rPr>
          <w:rFonts w:ascii="仿宋_GB2312" w:hAnsi="仿宋_GB2312" w:eastAsia="仿宋_GB2312" w:cs="仿宋_GB2312"/>
          <w:sz w:val="32"/>
          <w:szCs w:val="32"/>
        </w:rPr>
        <w:t>1978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年，经过三十多年的砥砺前行，积蕴芳华，现已发展成为温县唯一一所集职业中专、普通中专、职前职后培训为一体的综合性省级重点中等职业学校。</w:t>
      </w:r>
    </w:p>
    <w:p>
      <w:pPr>
        <w:kinsoku w:val="0"/>
        <w:overflowPunct w:val="0"/>
        <w:adjustRightInd w:val="0"/>
        <w:snapToGrid w:val="0"/>
        <w:spacing w:line="600" w:lineRule="exact"/>
        <w:ind w:left="640" w:right="-58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现开设有机械加工技术、数控技术应用、汽车运用与维修、计算机平面设计、会计、学前教育、旅游服务与管理、电子商务、太极养生等专业，拥有数控实训室、电工实训室、刨工实训室、铣工实训室、客房实训室、餐饮实训室、汽车模拟室、财会模拟室、舞蹈房、画室、理化生实验室等</w:t>
      </w:r>
      <w:r>
        <w:rPr>
          <w:rFonts w:ascii="仿宋_GB2312" w:hAnsi="仿宋_GB2312" w:eastAsia="仿宋_GB2312" w:cs="仿宋_GB2312"/>
          <w:sz w:val="32"/>
          <w:szCs w:val="32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余个实训室。</w:t>
      </w:r>
    </w:p>
    <w:p>
      <w:pPr>
        <w:kinsoku w:val="0"/>
        <w:overflowPunct w:val="0"/>
        <w:adjustRightInd w:val="0"/>
        <w:snapToGrid w:val="0"/>
        <w:spacing w:line="600" w:lineRule="exact"/>
        <w:ind w:left="640" w:right="-199" w:firstLine="31680" w:firstLineChars="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职教中心新校区占地</w:t>
      </w:r>
      <w:r>
        <w:rPr>
          <w:rFonts w:ascii="仿宋_GB2312" w:hAnsi="仿宋_GB2312" w:eastAsia="仿宋_GB2312" w:cs="仿宋_GB2312"/>
          <w:sz w:val="32"/>
          <w:szCs w:val="32"/>
        </w:rPr>
        <w:t>220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亩，总投资</w:t>
      </w:r>
      <w:r>
        <w:rPr>
          <w:rFonts w:ascii="仿宋_GB2312" w:hAnsi="仿宋_GB2312" w:eastAsia="仿宋_GB2312" w:cs="仿宋_GB2312"/>
          <w:sz w:val="32"/>
          <w:szCs w:val="32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</w:t>
      </w:r>
      <w:r>
        <w:rPr>
          <w:rFonts w:ascii="仿宋_GB2312" w:hAnsi="仿宋_GB2312" w:eastAsia="仿宋_GB2312" w:cs="仿宋_GB2312"/>
          <w:sz w:val="32"/>
          <w:szCs w:val="32"/>
        </w:rPr>
        <w:t>2009</w:t>
      </w:r>
      <w:r>
        <w:rPr>
          <w:rFonts w:hint="eastAsia" w:ascii="仿宋_GB2312" w:hAnsi="仿宋_GB2312" w:eastAsia="仿宋_GB2312" w:cs="仿宋_GB2312"/>
          <w:sz w:val="32"/>
          <w:szCs w:val="32"/>
        </w:rPr>
        <w:t>年开工建设，包括实训楼、教学楼、车间化综合教学楼、图书馆、礼堂学生宿舍、餐厅等，目前已全部建成。新校区可容纳在校生</w:t>
      </w:r>
      <w:r>
        <w:rPr>
          <w:rFonts w:ascii="仿宋_GB2312" w:hAnsi="仿宋_GB2312" w:eastAsia="仿宋_GB2312" w:cs="仿宋_GB2312"/>
          <w:sz w:val="32"/>
          <w:szCs w:val="32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</w:rPr>
        <w:t>余名，年短期培训能力达</w:t>
      </w:r>
      <w:r>
        <w:rPr>
          <w:rFonts w:ascii="仿宋_GB2312" w:hAnsi="仿宋_GB2312" w:eastAsia="仿宋_GB2312" w:cs="仿宋_GB2312"/>
          <w:sz w:val="32"/>
          <w:szCs w:val="32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人。近年来，学校坚持“以服务为宗旨，以就业为导向，以质量为核心，以改革为动力”的办学方针，办学实力不断提升，办学影响不断扩大，对口升学率达</w:t>
      </w:r>
      <w:r>
        <w:rPr>
          <w:rFonts w:ascii="仿宋_GB2312" w:hAnsi="仿宋_GB2312" w:eastAsia="仿宋_GB2312" w:cs="仿宋_GB2312"/>
          <w:sz w:val="32"/>
          <w:szCs w:val="32"/>
        </w:rPr>
        <w:t>95%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，毕业生就业率达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。先后荣获河南省职教攻坚先进单位、焦作市职教攻坚先进单位、焦作市职业学校管理先进单位、焦作市学校基础建设先进单位等多项荣誉称号。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3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600" w:lineRule="exact"/>
        <w:ind w:left="640" w:right="-58"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我单位有二级机构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0个，</w:t>
      </w:r>
      <w:r>
        <w:rPr>
          <w:rFonts w:hint="eastAsia" w:ascii="仿宋_GB2312" w:hAnsi="Times New Roman" w:eastAsia="仿宋_GB2312" w:cs="仿宋_GB2312"/>
          <w:sz w:val="32"/>
          <w:szCs w:val="32"/>
        </w:rPr>
        <w:t>本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预</w:t>
      </w:r>
      <w:r>
        <w:rPr>
          <w:rFonts w:hint="eastAsia" w:ascii="仿宋_GB2312" w:hAnsi="Times New Roman" w:eastAsia="仿宋_GB2312" w:cs="仿宋_GB2312"/>
          <w:sz w:val="32"/>
          <w:szCs w:val="32"/>
        </w:rPr>
        <w:t>算为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本级预</w:t>
      </w:r>
      <w:r>
        <w:rPr>
          <w:rFonts w:hint="eastAsia" w:ascii="仿宋_GB2312" w:hAnsi="Times New Roman" w:eastAsia="仿宋_GB2312" w:cs="仿宋_GB2312"/>
          <w:sz w:val="32"/>
          <w:szCs w:val="32"/>
        </w:rPr>
        <w:t>算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温县职业技术教育中心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1143.53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1143.53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</w:t>
      </w:r>
      <w:r>
        <w:rPr>
          <w:rFonts w:hint="eastAsia" w:ascii="仿宋_GB2312" w:eastAsia="仿宋_GB2312"/>
          <w:sz w:val="32"/>
          <w:szCs w:val="32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24.35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2.08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人员工资变动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温县职业技术教育中心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1143.53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1143.53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1096.51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11.62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温县职业技术教育中心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1143.53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1107.01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96.81%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36.52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3.19 %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温县职业技术教育中心2018年一般公共预算收支预算1143.53万元。政府性基金收支预算0万元，与 2017年相比，一般公共预算收支预算减少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24.35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2.08</w:t>
      </w:r>
      <w:r>
        <w:rPr>
          <w:rFonts w:hint="eastAsia" w:ascii="仿宋_GB2312" w:eastAsia="仿宋_GB2312"/>
          <w:sz w:val="32"/>
          <w:szCs w:val="32"/>
        </w:rPr>
        <w:t>%，主要原因：</w:t>
      </w:r>
      <w:r>
        <w:rPr>
          <w:rFonts w:hint="eastAsia" w:ascii="仿宋_GB2312" w:eastAsia="仿宋_GB2312"/>
          <w:sz w:val="32"/>
          <w:szCs w:val="32"/>
          <w:lang w:eastAsia="zh-CN"/>
        </w:rPr>
        <w:t>人员工资变动</w:t>
      </w:r>
      <w:r>
        <w:rPr>
          <w:rFonts w:hint="eastAsia" w:ascii="仿宋_GB2312" w:eastAsia="仿宋_GB2312"/>
          <w:sz w:val="32"/>
          <w:szCs w:val="32"/>
        </w:rPr>
        <w:t>；政府性基金收支与2017年保持一致</w:t>
      </w:r>
      <w:r>
        <w:rPr>
          <w:rFonts w:hint="eastAsia" w:ascii="仿宋_GB2312" w:eastAsia="仿宋_GB2312"/>
          <w:sz w:val="32"/>
          <w:szCs w:val="32"/>
          <w:lang w:eastAsia="zh-CN"/>
        </w:rPr>
        <w:t>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温县职业技术教育中心2018年一般公共预算支出年初预算为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1108.13</w:t>
      </w:r>
      <w:r>
        <w:rPr>
          <w:rFonts w:hint="eastAsia" w:ascii="仿宋_GB2312" w:eastAsia="仿宋_GB2312"/>
          <w:sz w:val="32"/>
          <w:szCs w:val="32"/>
        </w:rPr>
        <w:t>万元。主要用于以下方面：教育支出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876.0</w:t>
      </w:r>
      <w:r>
        <w:rPr>
          <w:rFonts w:hint="eastAsia" w:ascii="仿宋_GB2312" w:eastAsia="仿宋_GB2312"/>
          <w:sz w:val="32"/>
          <w:szCs w:val="32"/>
        </w:rPr>
        <w:t>7万元，占79.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</w:t>
      </w:r>
      <w:r>
        <w:rPr>
          <w:rFonts w:hint="eastAsia" w:ascii="仿宋_GB2312" w:eastAsia="仿宋_GB2312"/>
          <w:sz w:val="32"/>
          <w:szCs w:val="32"/>
        </w:rPr>
        <w:t>%；社会保障和就业支出171.15万元，占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15.44</w:t>
      </w:r>
      <w:r>
        <w:rPr>
          <w:rFonts w:hint="eastAsia" w:ascii="仿宋_GB2312" w:eastAsia="仿宋_GB2312"/>
          <w:sz w:val="32"/>
          <w:szCs w:val="32"/>
        </w:rPr>
        <w:t>%；医疗卫生与计划生育支出60.91万元，占5.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5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5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温县职业技术教育中心2018年一般公共预算基本支出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1095.51</w:t>
      </w:r>
      <w:r>
        <w:rPr>
          <w:rFonts w:hint="eastAsia" w:ascii="仿宋_GB2312" w:eastAsia="仿宋_GB2312"/>
          <w:sz w:val="32"/>
          <w:szCs w:val="32"/>
        </w:rPr>
        <w:t>万元，其中：人员经费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1095.51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</w:t>
      </w:r>
      <w:r>
        <w:rPr>
          <w:rFonts w:hint="eastAsia" w:ascii="仿宋_GB2312" w:eastAsia="仿宋_GB2312"/>
          <w:sz w:val="32"/>
          <w:szCs w:val="32"/>
        </w:rPr>
        <w:t>：基本工资、津贴补贴、绩效工资、机关事业单位基本养老保险缴费、医疗保险缴费、其他社会保障缴费</w:t>
      </w:r>
      <w:r>
        <w:rPr>
          <w:rFonts w:hint="eastAsia" w:ascii="仿宋_GB2312" w:eastAsia="仿宋_GB2312"/>
          <w:sz w:val="32"/>
          <w:szCs w:val="32"/>
          <w:lang w:eastAsia="zh-CN"/>
        </w:rPr>
        <w:t>；公用经费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温县职业技术教育中心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11.50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2017年数一致，增长0%。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sz w:val="32"/>
          <w:szCs w:val="32"/>
        </w:rPr>
        <w:t>11.2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2017年数一致，增长0%。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公车运行维护费</w:t>
      </w:r>
      <w:r>
        <w:rPr>
          <w:rFonts w:ascii="仿宋_GB2312" w:hAnsi="仿宋_GB2312" w:eastAsia="仿宋_GB2312" w:cs="仿宋_GB2312"/>
          <w:sz w:val="32"/>
          <w:szCs w:val="32"/>
        </w:rPr>
        <w:t>11.2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万元，主要用于单位公务用车燃料费、维修费、过路过桥费等支出。与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年预算数持平一致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ascii="仿宋_GB2312" w:hAnsi="仿宋_GB2312" w:eastAsia="仿宋_GB2312" w:cs="仿宋_GB2312"/>
          <w:sz w:val="32"/>
          <w:szCs w:val="32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万元，主要用于省内外职业学校的业务学习和交流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按规定开支的各类公务接待支出。与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年预算数持平一致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 xml:space="preserve"> 11.50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 xml:space="preserve"> 6.6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万元。其中：学生桌</w:t>
      </w:r>
      <w:r>
        <w:rPr>
          <w:rFonts w:ascii="仿宋_GB2312" w:hAnsi="仿宋_GB2312" w:eastAsia="仿宋_GB2312" w:cs="仿宋_GB2312"/>
          <w:sz w:val="32"/>
          <w:szCs w:val="32"/>
        </w:rPr>
        <w:t>5.4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万元，学生凳</w:t>
      </w:r>
      <w:r>
        <w:rPr>
          <w:rFonts w:ascii="仿宋_GB2312" w:hAnsi="仿宋_GB2312" w:eastAsia="仿宋_GB2312" w:cs="仿宋_GB2312"/>
          <w:sz w:val="32"/>
          <w:szCs w:val="32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1143.53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1095.51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，其中预算支出30万元及以上应申报绩效的项目0个，支出总额0万元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期末，温县职业技术教育中心固定资产总额2656.50万元，其中，房屋建筑物21.98万元，车辆5.50万元。共有车辆3辆，其中：一般公务用车1辆。单价50万元以上通用设备3台（套），单位价值100万元以上专用设备0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八、中职免学费政策享受对象为中职学校全日制正式学籍1至3年级在校生中的农村户籍、县镇非农户籍学生、城市涉农专业学生、城市家庭经济困难学生、残疾学生。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bookmarkStart w:id="0" w:name="_GoBack"/>
      <w:bookmarkEnd w:id="0"/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附件：温县职业技术教育中心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algun Gothic Semilight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6">
    <w:name w:val="Header Char"/>
    <w:basedOn w:val="4"/>
    <w:link w:val="3"/>
    <w:uiPriority w:val="99"/>
    <w:rPr>
      <w:rFonts w:ascii="Calibri" w:hAnsi="Calibri" w:cs="黑体"/>
      <w:kern w:val="2"/>
      <w:sz w:val="18"/>
      <w:szCs w:val="18"/>
    </w:rPr>
  </w:style>
  <w:style w:type="character" w:customStyle="1" w:styleId="7">
    <w:name w:val="Footer Char"/>
    <w:basedOn w:val="4"/>
    <w:link w:val="2"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6</Pages>
  <Words>365</Words>
  <Characters>2083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2018-11-08T09:47:00Z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