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温县政协办公室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（一）机构设置情况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温县政协机关设正科级办事机构5个：温县政协办公室、提案委员会、经济科技法制委员会、文教卫生委员会、社会和法制委员会。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（二）部门职责：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1、承担县政协全会、县政协常委会、主席会议的筹备和服务工作、负责市政协全会温县委员会的服务工作；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2、受主席委托，拟定有关议案草案；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3、承办县政协综合性文件、常委会工作报告、总结、要点的起草工作；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4、参与重要调查研究、视察等活动，起草有关报告；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5、编发政协工作信息、简报；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6、了解、综合和反馈全会、常委会有关决议、决定落实情况；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7、负责与县委、县人大、县政府办公室等有关单位的联络和协调工作；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8、办理县政协领导同志活动的具体事宜；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9、负责县政协机关的人事管理，老干部服务及行政事务工作；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10、负责机关的文电、机要、保密、档案管理，图书、资料管理，文印工作；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2" w:rightChars="-4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11、负责办理县政协领导交办的其它事宜。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二、部门预算单位构成</w:t>
      </w: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我单位有二级机构0个，本预算为本级单位预算。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right="-92" w:rightChars="-44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numPr>
          <w:numId w:val="0"/>
        </w:numPr>
        <w:wordWrap/>
        <w:adjustRightInd w:val="0"/>
        <w:snapToGrid w:val="0"/>
        <w:spacing w:before="0" w:after="0" w:line="60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退休人员、调出人员的工资减少形成。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160.95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160.95万元，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74.13%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25.87%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温县政协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12.4847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7.2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人员退休与调出，编纂书籍资金减少</w:t>
      </w:r>
      <w:r>
        <w:rPr>
          <w:rFonts w:hint="eastAsia" w:ascii="仿宋_GB2312" w:eastAsia="仿宋_GB2312"/>
          <w:sz w:val="32"/>
          <w:szCs w:val="32"/>
        </w:rPr>
        <w:t>；政府性基金收支增加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,与2017年保持一致,无变化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温县政协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160.95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139.64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15.71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温县政协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119.31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102.49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包括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基本工资、津贴补贴、绩效工资、机关事业单位基本养老保险缴费、医疗保险缴费、其他社会保障缴费、其他工资福利支出；公用经费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16.82</w:t>
      </w:r>
      <w:r>
        <w:rPr>
          <w:rFonts w:hint="eastAsia" w:ascii="仿宋_GB2312" w:eastAsia="仿宋_GB2312"/>
          <w:sz w:val="32"/>
          <w:szCs w:val="32"/>
        </w:rPr>
        <w:t>万元，主要包括：办公费、印刷费、邮电费、物业管理费、维修（护）费、公务接待费、其他交通费用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kern w:val="0"/>
          <w:sz w:val="32"/>
          <w:szCs w:val="32"/>
          <w:lang w:val="en-US" w:eastAsia="zh-CN"/>
        </w:rPr>
        <w:t>2017年预算数一致，增长0%。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/>
          <w:sz w:val="32"/>
        </w:rPr>
        <w:t>其中公务车辆购置费0万元。与2017年数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  <w:r>
        <w:rPr>
          <w:rFonts w:hint="eastAsia" w:ascii="仿宋_GB2312" w:hAnsi="仿宋_GB2312" w:eastAsia="仿宋_GB2312"/>
          <w:sz w:val="32"/>
        </w:rPr>
        <w:t>公车运行维护费0万元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与2017年数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/>
          <w:sz w:val="32"/>
          <w:lang w:eastAsia="zh-CN"/>
        </w:rPr>
        <w:t>，增长</w:t>
      </w:r>
      <w:r>
        <w:rPr>
          <w:rFonts w:hint="eastAsia" w:ascii="仿宋_GB2312" w:hAnsi="仿宋_GB2312" w:eastAsia="仿宋_GB2312"/>
          <w:sz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1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万元，主要用于相关部门检查指导工作，接待上级有关单位督导、检查、调研、访问、观摩等活动接待支出。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比2017年减少6.5万元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厉行节约、严格控制三公经费支出形成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年没有使用政府性基金预算拨款安排的收支。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政府采购预算安排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2018年，我单位部门预算纳入绩效管理的支出总额为160.95万元，其中人员经费支出102.49万元，公用经费支出16.82万元，支出项目共5个，支出总额41.64万元，其中预算支出30万元及以上应申报绩效的项目0个。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pStyle w:val="3"/>
        <w:spacing w:line="60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温县政协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122.9981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52.596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35.97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rPr>
          <w:rFonts w:hint="default" w:ascii="仿宋_GB2312" w:hAnsi="宋体" w:eastAsia="仿宋_GB2312" w:cs="Courier New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八、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中国人民政治协商会议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：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是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instrText xml:space="preserve">HYPERLINK "https://baike.so.com/doc/1279856-24188840.html"</w:instrTex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中国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人民爱国统一战线的组织，是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instrText xml:space="preserve">HYPERLINK "https://baike.so.com/doc/1475840-1560614.html"</w:instrTex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中国共产党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领导的多党合作和政治协商的重要机构，是中国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instrText xml:space="preserve">HYPERLINK "https://baike.so.com/doc/698378-739119.html"</w:instrTex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政治生活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中发扬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begin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instrText xml:space="preserve">HYPERLINK "https://baike.so.com/doc/5963238-6176187.html"</w:instrTex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separate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社会主义民主</w:t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fldChar w:fldCharType="end"/>
      </w:r>
      <w:r>
        <w:rPr>
          <w:rFonts w:hint="default" w:ascii="仿宋_GB2312" w:hAnsi="宋体" w:eastAsia="仿宋_GB2312" w:cs="Courier New"/>
          <w:sz w:val="32"/>
          <w:szCs w:val="32"/>
          <w:lang w:eastAsia="zh-CN"/>
        </w:rPr>
        <w:t>的一种重要形式。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温县政协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CourierPS">
    <w:altName w:val="Segoe Print"/>
    <w:panose1 w:val="02070609020205020404"/>
    <w:charset w:val="00"/>
    <w:family w:val="auto"/>
    <w:pitch w:val="default"/>
    <w:sig w:usb0="00000000" w:usb1="00000000" w:usb2="00000000" w:usb3="00000000" w:csb0="00000093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2018-11-08T10:22:30Z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