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组织部</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组织部</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numPr>
          <w:numId w:val="0"/>
        </w:numPr>
        <w:kinsoku w:val="0"/>
        <w:wordWrap/>
        <w:overflowPunct w:val="0"/>
        <w:adjustRightInd w:val="0"/>
        <w:snapToGrid w:val="0"/>
        <w:spacing w:before="0" w:after="0" w:line="600"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中共温县县委组织部设7个内设机构。</w:t>
      </w:r>
    </w:p>
    <w:p>
      <w:pPr>
        <w:numPr>
          <w:numId w:val="0"/>
        </w:numPr>
        <w:kinsoku w:val="0"/>
        <w:wordWrap/>
        <w:overflowPunct w:val="0"/>
        <w:adjustRightInd w:val="0"/>
        <w:snapToGrid w:val="0"/>
        <w:spacing w:before="0" w:after="0" w:line="600" w:lineRule="exact"/>
        <w:ind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1.办公室。2.干部科。3.组织科4.培训科。5.人才办6.综合调研科。7.县委干部监督室（挂县委组织部举报中心牌子）。</w:t>
      </w:r>
    </w:p>
    <w:p>
      <w:pPr>
        <w:kinsoku w:val="0"/>
        <w:wordWrap/>
        <w:overflowPunct w:val="0"/>
        <w:adjustRightInd w:val="0"/>
        <w:snapToGrid w:val="0"/>
        <w:spacing w:before="0" w:after="0" w:line="600" w:lineRule="exact"/>
        <w:ind w:right="3569"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（二）部门职责</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0"/>
          <w:sz w:val="32"/>
          <w:szCs w:val="32"/>
          <w:lang w:val="en-US" w:eastAsia="zh-CN"/>
        </w:rPr>
        <w:t>1.研究和指导全县党组织特别是党的基层组织建设</w:t>
      </w:r>
      <w:r>
        <w:rPr>
          <w:rFonts w:hint="eastAsia" w:ascii="仿宋_GB2312" w:hAnsi="仿宋_GB2312" w:eastAsia="仿宋_GB2312" w:cs="仿宋_GB2312"/>
          <w:sz w:val="32"/>
          <w:szCs w:val="32"/>
          <w:lang w:val="en-US" w:eastAsia="zh-CN"/>
        </w:rPr>
        <w:t>，探索各类新的经济组织中党组织的设置和活动方式；指导督促全县基层党组织的换届选举工作；协调、规划和指导全县党员教育工作，负责党员管理和发展工作；指导和组织新时期党的建设的理论研究和党的建设宣传教育工作；指导非公有制企业党组织的设置、管理和调整，做好非公有制企业党员的发展、教育和管理工作。</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出全县干部宏观管理的建议；提出关于乡镇、县直各部门和企事业单位以及其他列入县委管理的领导班子和领导干部调整配备的意见和建议；负责县委管理干部的考察和办理任免、待遇、离退休审批手续；承办县委协助市委管理干部的任免、工资、待遇、退离休等有关具体工作；指导并组织领导班子的思想政治建设；负责县委组织部管理干部的任免以及科级单位中层干部的备案审查和宏观管理工作；承办干部的调配、交流、出国（境）的审查及转业军官安置事宜。</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3.贯彻执行中央、省、市委关于干部队伍建设的方针、政策，组织落实培养选拔中青年干部工作。</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4.指导和组织全县党的组织制度和干部人事制度的改革，制订或参与制订全县组织、干部、人事工作的有关政策和制度。</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落实干部监督管理的有关制度和规定，加强干部队伍监督管理；负责组织工作和干部工作的检查落实；加强对全县选拔任用干部工作的监督，及时向县委反映重要情况，提出建议；承办市管干部收入申报等有关资料的收集和上报及县管干部的任中、任期、离任审计等工作。</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主管全县干部教育工作，制订全县干部教育规划和实施意见；组织县委管理的干部、优秀中青年干部及全县农村两委主要负责人的培训；组织、指导、协调各乡镇、县直部委办局的干部教育工作；建立健全并督促检查全县干部培训制度的落实工作，指导干部培训基地、师资队伍建设和教材编写工作。</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7.负责全县人才工作的指导和协调，调查研究知识分子工作状况，负责选拔、管理县级专业技术拔尖人才及专业技术人才库建设工作。</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8.研究制定实施大学生村干部工作的有关政策和规划，负责对大学生村干部的培训和调配，对大学生村干部工作进行宏观管理和督查。</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9.组织指导党委、人大、政协、法院、检察院、群众团体等党群口公务员及参照公务员管理单位公务员登记管理的工作，并实施有关制度；探索建立适合各单位特点的人事管理制度。</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10.负责全县退（离）休干部工作的宏观管理、组织协调，制订和落实老干部工作政策规定（具体工作由县委老干部局承担）。</w:t>
      </w:r>
    </w:p>
    <w:p>
      <w:pPr>
        <w:kinsoku w:val="0"/>
        <w:wordWrap/>
        <w:overflowPunct w:val="0"/>
        <w:adjustRightInd w:val="0"/>
        <w:snapToGrid w:val="0"/>
        <w:spacing w:before="0" w:after="0" w:line="600" w:lineRule="exact"/>
        <w:ind w:right="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11.承办县委交办的其他事项。</w:t>
      </w:r>
    </w:p>
    <w:p>
      <w:pPr>
        <w:kinsoku w:val="0"/>
        <w:wordWrap/>
        <w:overflowPunct w:val="0"/>
        <w:adjustRightInd w:val="0"/>
        <w:snapToGrid w:val="0"/>
        <w:spacing w:before="0" w:after="0" w:line="600" w:lineRule="exact"/>
        <w:ind w:left="0" w:leftChars="0" w:right="3569"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我单位有二级机构0个，本预算为本级预算。</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sz w:val="32"/>
          <w:szCs w:val="32"/>
          <w:lang w:eastAsia="zh-CN"/>
        </w:rPr>
        <w:t>组织部</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166.53</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166.53</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28.72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。主要原因：</w:t>
      </w:r>
      <w:r>
        <w:rPr>
          <w:rFonts w:hint="eastAsia" w:ascii="仿宋_GB2312" w:hAnsi="仿宋_GB2312" w:eastAsia="仿宋_GB2312" w:cs="仿宋_GB2312"/>
          <w:color w:val="auto"/>
          <w:sz w:val="32"/>
          <w:szCs w:val="32"/>
          <w:lang w:val="en-US" w:eastAsia="zh-CN"/>
        </w:rPr>
        <w:t>大学生村干部转岗工作已完成，不再支付大学生村干部工作、生活补贴。</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组织部</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166.53</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166.53万元。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组织部</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166.53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143.13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23.4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eastAsia="仿宋_GB2312"/>
          <w:color w:val="0000FF"/>
          <w:sz w:val="32"/>
          <w:szCs w:val="32"/>
          <w:lang w:val="en-US"/>
        </w:rPr>
      </w:pPr>
      <w:r>
        <w:rPr>
          <w:rFonts w:hint="eastAsia" w:ascii="仿宋_GB2312" w:eastAsia="仿宋_GB2312"/>
          <w:sz w:val="32"/>
          <w:szCs w:val="32"/>
          <w:lang w:eastAsia="zh-CN"/>
        </w:rPr>
        <w:t>组织部</w:t>
      </w:r>
      <w:r>
        <w:rPr>
          <w:rFonts w:hint="eastAsia" w:ascii="仿宋_GB2312" w:eastAsia="仿宋_GB2312"/>
          <w:sz w:val="32"/>
          <w:szCs w:val="32"/>
        </w:rPr>
        <w:t>2018年一般公共预算收支预算</w:t>
      </w:r>
      <w:r>
        <w:rPr>
          <w:rFonts w:hint="eastAsia" w:ascii="仿宋_GB2312" w:hAnsi="仿宋_GB2312" w:eastAsia="仿宋_GB2312" w:cs="仿宋_GB2312"/>
          <w:sz w:val="32"/>
          <w:szCs w:val="32"/>
          <w:lang w:val="en-US" w:eastAsia="zh-CN"/>
        </w:rPr>
        <w:t>166.53</w:t>
      </w:r>
      <w:r>
        <w:rPr>
          <w:rFonts w:hint="eastAsia" w:ascii="仿宋_GB2312" w:eastAsia="仿宋_GB2312"/>
          <w:sz w:val="32"/>
          <w:szCs w:val="32"/>
        </w:rPr>
        <w:t>万元。</w:t>
      </w:r>
      <w:r>
        <w:rPr>
          <w:rFonts w:hint="eastAsia" w:ascii="仿宋_GB2312" w:eastAsia="仿宋_GB2312"/>
          <w:sz w:val="32"/>
          <w:szCs w:val="32"/>
          <w:lang w:eastAsia="zh-CN"/>
        </w:rPr>
        <w:t>政府性基金收支预算为</w:t>
      </w:r>
      <w:r>
        <w:rPr>
          <w:rFonts w:hint="eastAsia" w:ascii="仿宋_GB2312" w:eastAsia="仿宋_GB2312"/>
          <w:sz w:val="32"/>
          <w:szCs w:val="32"/>
          <w:lang w:val="en-US" w:eastAsia="zh-CN"/>
        </w:rPr>
        <w:t>0万元，</w:t>
      </w:r>
      <w:r>
        <w:rPr>
          <w:rFonts w:hint="eastAsia" w:ascii="仿宋_GB2312" w:eastAsia="仿宋_GB2312"/>
          <w:sz w:val="32"/>
          <w:szCs w:val="32"/>
        </w:rPr>
        <w:t>与 2017年相比，一般公共预算收支预算</w:t>
      </w:r>
      <w:r>
        <w:rPr>
          <w:rFonts w:hint="eastAsia" w:ascii="仿宋_GB2312" w:eastAsia="仿宋_GB2312"/>
          <w:sz w:val="32"/>
          <w:szCs w:val="32"/>
          <w:lang w:eastAsia="zh-CN"/>
        </w:rPr>
        <w:t>减少</w:t>
      </w:r>
      <w:r>
        <w:rPr>
          <w:rFonts w:hint="eastAsia" w:ascii="仿宋_GB2312" w:hAnsi="仿宋_GB2312" w:eastAsia="仿宋_GB2312" w:cs="仿宋_GB2312"/>
          <w:sz w:val="32"/>
          <w:szCs w:val="32"/>
          <w:lang w:val="en-US" w:eastAsia="zh-CN"/>
        </w:rPr>
        <w:t>28.72</w:t>
      </w:r>
      <w:r>
        <w:rPr>
          <w:rFonts w:hint="eastAsia" w:ascii="仿宋_GB2312" w:eastAsia="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14.7%</w:t>
      </w:r>
      <w:r>
        <w:rPr>
          <w:rFonts w:hint="eastAsia" w:ascii="仿宋_GB2312" w:eastAsia="仿宋_GB2312"/>
          <w:sz w:val="32"/>
          <w:szCs w:val="32"/>
        </w:rPr>
        <w:t>，主要原因：</w:t>
      </w:r>
      <w:r>
        <w:rPr>
          <w:rFonts w:hint="eastAsia" w:ascii="仿宋_GB2312" w:hAnsi="仿宋_GB2312" w:eastAsia="仿宋_GB2312" w:cs="仿宋_GB2312"/>
          <w:color w:val="auto"/>
          <w:sz w:val="32"/>
          <w:szCs w:val="32"/>
          <w:lang w:val="en-US" w:eastAsia="zh-CN"/>
        </w:rPr>
        <w:t>大学生村干部转岗工作已完成，不再支付大学生村干部工作、生活补贴。政府性基金增加0万元，</w:t>
      </w:r>
      <w:r>
        <w:rPr>
          <w:rFonts w:hint="eastAsia" w:ascii="仿宋_GB2312" w:eastAsia="仿宋_GB2312"/>
          <w:sz w:val="32"/>
          <w:szCs w:val="32"/>
        </w:rPr>
        <w:t>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hAnsi="仿宋_GB2312" w:eastAsia="仿宋_GB2312" w:cs="仿宋_GB2312"/>
          <w:color w:val="auto"/>
          <w:sz w:val="32"/>
          <w:szCs w:val="32"/>
          <w:lang w:val="en-US" w:eastAsia="zh-CN"/>
        </w:rPr>
        <w:t>与2017年保持一致,无变化。</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lang w:val="en-US" w:eastAsia="zh-CN"/>
        </w:rPr>
      </w:pPr>
      <w:r>
        <w:rPr>
          <w:rFonts w:hint="eastAsia" w:ascii="仿宋_GB2312" w:eastAsia="仿宋_GB2312"/>
          <w:sz w:val="32"/>
          <w:szCs w:val="32"/>
          <w:lang w:eastAsia="zh-CN"/>
        </w:rPr>
        <w:t>组织部</w:t>
      </w:r>
      <w:r>
        <w:rPr>
          <w:rFonts w:hint="eastAsia" w:ascii="仿宋_GB2312" w:eastAsia="仿宋_GB2312"/>
          <w:sz w:val="32"/>
          <w:szCs w:val="32"/>
        </w:rPr>
        <w:t>2018年一般公共预算支出年初预算为</w:t>
      </w:r>
      <w:r>
        <w:rPr>
          <w:rFonts w:hint="eastAsia" w:ascii="仿宋_GB2312" w:hAnsi="仿宋_GB2312" w:eastAsia="仿宋_GB2312" w:cs="仿宋_GB2312"/>
          <w:sz w:val="32"/>
          <w:szCs w:val="32"/>
          <w:lang w:val="en-US" w:eastAsia="zh-CN"/>
        </w:rPr>
        <w:t>166.53</w:t>
      </w:r>
      <w:r>
        <w:rPr>
          <w:rFonts w:hint="eastAsia" w:ascii="仿宋_GB2312" w:eastAsia="仿宋_GB2312"/>
          <w:sz w:val="32"/>
          <w:szCs w:val="32"/>
        </w:rPr>
        <w:t>万元。主要用于以下方面：</w:t>
      </w:r>
      <w:r>
        <w:rPr>
          <w:rFonts w:hint="eastAsia" w:ascii="仿宋_GB2312" w:eastAsia="仿宋_GB2312"/>
          <w:sz w:val="32"/>
          <w:szCs w:val="32"/>
          <w:lang w:val="en-US" w:eastAsia="zh-CN"/>
        </w:rPr>
        <w:t>一般</w:t>
      </w:r>
      <w:r>
        <w:rPr>
          <w:rFonts w:hint="eastAsia" w:ascii="仿宋_GB2312" w:eastAsia="仿宋_GB2312"/>
          <w:sz w:val="32"/>
          <w:szCs w:val="32"/>
          <w:lang w:eastAsia="zh-CN"/>
        </w:rPr>
        <w:t>公共服务支出</w:t>
      </w:r>
      <w:r>
        <w:rPr>
          <w:rFonts w:hint="eastAsia" w:ascii="仿宋_GB2312" w:eastAsia="仿宋_GB2312"/>
          <w:sz w:val="32"/>
          <w:szCs w:val="32"/>
          <w:lang w:val="en-US" w:eastAsia="zh-CN"/>
        </w:rPr>
        <w:t>142.01万元，占85.28</w:t>
      </w:r>
      <w:r>
        <w:rPr>
          <w:rFonts w:hint="eastAsia" w:ascii="仿宋_GB2312" w:eastAsia="仿宋_GB2312"/>
          <w:sz w:val="32"/>
          <w:szCs w:val="32"/>
        </w:rPr>
        <w:t>%</w:t>
      </w:r>
      <w:r>
        <w:rPr>
          <w:rFonts w:hint="eastAsia" w:ascii="仿宋_GB2312" w:eastAsia="仿宋_GB2312"/>
          <w:sz w:val="32"/>
          <w:szCs w:val="32"/>
          <w:lang w:eastAsia="zh-CN"/>
        </w:rPr>
        <w:t>；社会保障与就业支出</w:t>
      </w:r>
      <w:r>
        <w:rPr>
          <w:rFonts w:hint="eastAsia" w:ascii="仿宋_GB2312" w:eastAsia="仿宋_GB2312"/>
          <w:sz w:val="32"/>
          <w:szCs w:val="32"/>
          <w:lang w:val="en-US" w:eastAsia="zh-CN"/>
        </w:rPr>
        <w:t>18.11万元，占10.87</w:t>
      </w:r>
      <w:r>
        <w:rPr>
          <w:rFonts w:hint="eastAsia" w:ascii="仿宋_GB2312" w:eastAsia="仿宋_GB2312"/>
          <w:sz w:val="32"/>
          <w:szCs w:val="32"/>
        </w:rPr>
        <w:t>%</w:t>
      </w:r>
      <w:r>
        <w:rPr>
          <w:rFonts w:hint="eastAsia" w:ascii="仿宋_GB2312" w:eastAsia="仿宋_GB2312"/>
          <w:sz w:val="32"/>
          <w:szCs w:val="32"/>
          <w:lang w:eastAsia="zh-CN"/>
        </w:rPr>
        <w:t>；医疗卫生与计划生育支出</w:t>
      </w:r>
      <w:r>
        <w:rPr>
          <w:rFonts w:hint="eastAsia" w:ascii="仿宋_GB2312" w:eastAsia="仿宋_GB2312"/>
          <w:sz w:val="32"/>
          <w:szCs w:val="32"/>
          <w:lang w:val="en-US" w:eastAsia="zh-CN"/>
        </w:rPr>
        <w:t>6.41万元，占3.85</w:t>
      </w:r>
      <w:r>
        <w:rPr>
          <w:rFonts w:hint="eastAsia" w:ascii="仿宋_GB2312" w:eastAsia="仿宋_GB2312"/>
          <w:sz w:val="32"/>
          <w:szCs w:val="32"/>
        </w:rPr>
        <w:t>%</w:t>
      </w:r>
      <w:r>
        <w:rPr>
          <w:rFonts w:hint="eastAsia" w:ascii="仿宋_GB2312" w:eastAsia="仿宋_GB2312"/>
          <w:sz w:val="32"/>
          <w:szCs w:val="32"/>
          <w:lang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组织部</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143.13</w:t>
      </w:r>
      <w:r>
        <w:rPr>
          <w:rFonts w:hint="eastAsia" w:ascii="仿宋_GB2312" w:eastAsia="仿宋_GB2312"/>
          <w:sz w:val="32"/>
          <w:szCs w:val="32"/>
        </w:rPr>
        <w:t>万元，其中：人员经费</w:t>
      </w:r>
      <w:r>
        <w:rPr>
          <w:rFonts w:hint="eastAsia" w:ascii="仿宋_GB2312" w:eastAsia="仿宋_GB2312"/>
          <w:sz w:val="32"/>
          <w:szCs w:val="32"/>
          <w:lang w:val="en-US" w:eastAsia="zh-CN"/>
        </w:rPr>
        <w:t>121.17</w:t>
      </w:r>
      <w:r>
        <w:rPr>
          <w:rFonts w:hint="eastAsia" w:ascii="仿宋_GB2312" w:eastAsia="仿宋_GB2312"/>
          <w:sz w:val="32"/>
          <w:szCs w:val="32"/>
        </w:rPr>
        <w:t>万元，</w:t>
      </w:r>
      <w:r>
        <w:rPr>
          <w:rFonts w:hint="eastAsia" w:ascii="仿宋_GB2312" w:eastAsia="仿宋_GB2312"/>
          <w:sz w:val="32"/>
          <w:szCs w:val="32"/>
          <w:lang w:eastAsia="zh-CN"/>
        </w:rPr>
        <w:t>主要包括：</w:t>
      </w:r>
      <w:r>
        <w:rPr>
          <w:rFonts w:hint="eastAsia" w:ascii="仿宋_GB2312" w:eastAsia="仿宋_GB2312"/>
          <w:sz w:val="32"/>
          <w:szCs w:val="32"/>
        </w:rPr>
        <w:t>基本工资、津贴补贴、绩效工资、机关事业单位基本养老保险缴费、医疗保险缴费、其他社会保障缴费、其他工资福利支出；公用经费</w:t>
      </w:r>
      <w:r>
        <w:rPr>
          <w:rFonts w:hint="eastAsia" w:ascii="仿宋_GB2312" w:eastAsia="仿宋_GB2312"/>
          <w:sz w:val="32"/>
          <w:szCs w:val="32"/>
          <w:lang w:val="en-US" w:eastAsia="zh-CN"/>
        </w:rPr>
        <w:t>21.96</w:t>
      </w:r>
      <w:r>
        <w:rPr>
          <w:rFonts w:hint="eastAsia" w:ascii="仿宋_GB2312" w:eastAsia="仿宋_GB2312"/>
          <w:sz w:val="32"/>
          <w:szCs w:val="32"/>
        </w:rPr>
        <w:t>万元，主要包括：办公费、印刷费、邮电费、差旅费、公务接待费、委托业务费、其他交通费用。</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组织部</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,下降40%</w:t>
      </w:r>
      <w:r>
        <w:rPr>
          <w:rFonts w:hint="eastAsia" w:ascii="仿宋_GB2312" w:hAnsi="仿宋_GB2312" w:eastAsia="仿宋_GB2312" w:cs="仿宋_GB2312"/>
          <w:sz w:val="32"/>
          <w:szCs w:val="32"/>
        </w:rPr>
        <w:t>。</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0万元。与2017年预算数持平，增长0%。</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 w:hAnsi="仿宋" w:eastAsia="仿宋" w:cs="仿宋"/>
          <w:sz w:val="32"/>
          <w:szCs w:val="32"/>
        </w:rPr>
        <w:t>0</w:t>
      </w:r>
      <w:r>
        <w:rPr>
          <w:rFonts w:hint="eastAsia" w:ascii="仿宋" w:hAnsi="仿宋" w:eastAsia="仿宋" w:cs="仿宋"/>
          <w:kern w:val="0"/>
          <w:sz w:val="32"/>
          <w:szCs w:val="32"/>
        </w:rPr>
        <w:t>万</w:t>
      </w:r>
      <w:r>
        <w:rPr>
          <w:rFonts w:hint="eastAsia" w:ascii="仿宋" w:hAnsi="仿宋" w:eastAsia="仿宋" w:cs="仿宋"/>
          <w:sz w:val="32"/>
          <w:szCs w:val="32"/>
        </w:rPr>
        <w:t>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2017年数一致</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其中公务车辆购置费</w:t>
      </w:r>
      <w:r>
        <w:rPr>
          <w:rFonts w:hint="eastAsia" w:ascii="仿宋_GB2312" w:hAnsi="仿宋_GB2312" w:eastAsia="仿宋_GB2312" w:cs="仿宋_GB2312"/>
          <w:color w:val="000000"/>
          <w:sz w:val="32"/>
          <w:szCs w:val="32"/>
          <w:lang w:val="en-US" w:eastAsia="zh-CN"/>
        </w:rPr>
        <w:t>0万元，与2017年预算数持平，增长0%。</w:t>
      </w:r>
      <w:r>
        <w:rPr>
          <w:rFonts w:hint="eastAsia" w:ascii="仿宋_GB2312" w:hAnsi="仿宋_GB2312" w:eastAsia="仿宋_GB2312" w:cs="仿宋_GB2312"/>
          <w:color w:val="000000"/>
          <w:sz w:val="32"/>
          <w:szCs w:val="32"/>
          <w:lang w:eastAsia="zh-CN"/>
        </w:rPr>
        <w:t>公车运行维护费</w:t>
      </w:r>
      <w:r>
        <w:rPr>
          <w:rFonts w:hint="eastAsia" w:ascii="仿宋_GB2312" w:hAnsi="仿宋_GB2312" w:eastAsia="仿宋_GB2312" w:cs="仿宋_GB2312"/>
          <w:color w:val="000000"/>
          <w:sz w:val="32"/>
          <w:szCs w:val="32"/>
          <w:lang w:val="en-US" w:eastAsia="zh-CN"/>
        </w:rPr>
        <w:t>0万元，与2017年预算数持平，增长0%</w:t>
      </w:r>
      <w:r>
        <w:rPr>
          <w:rFonts w:hint="eastAsia" w:ascii="仿宋_GB2312" w:hAnsi="仿宋_GB2312" w:eastAsia="仿宋_GB2312" w:cs="仿宋_GB2312"/>
          <w:sz w:val="32"/>
          <w:szCs w:val="32"/>
          <w:lang w:val="en-US" w:eastAsia="zh-CN"/>
        </w:rPr>
        <w:t>。</w:t>
      </w:r>
    </w:p>
    <w:p>
      <w:pPr>
        <w:wordWrap/>
        <w:spacing w:before="0" w:after="0" w:line="600" w:lineRule="exact"/>
        <w:ind w:left="0" w:leftChars="0" w:firstLine="636"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val="0"/>
          <w:bCs/>
          <w:spacing w:val="-1"/>
          <w:kern w:val="0"/>
          <w:sz w:val="32"/>
          <w:szCs w:val="32"/>
          <w:lang w:eastAsia="zh-CN"/>
        </w:rPr>
        <w:t>（三）</w:t>
      </w:r>
      <w:r>
        <w:rPr>
          <w:rFonts w:hint="eastAsia" w:ascii="仿宋_GB2312" w:hAnsi="仿宋_GB2312" w:eastAsia="仿宋_GB2312" w:cs="仿宋_GB2312"/>
          <w:b/>
          <w:spacing w:val="-1"/>
          <w:kern w:val="0"/>
          <w:sz w:val="32"/>
          <w:szCs w:val="32"/>
        </w:rPr>
        <w:t>公务接待费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万元，主要用于按规定开支的各类公务接待支出。</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比2017年减少2万元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我单位不断</w:t>
      </w:r>
      <w:r>
        <w:rPr>
          <w:rFonts w:hint="eastAsia" w:ascii="仿宋_GB2312" w:hAnsi="仿宋_GB2312" w:eastAsia="仿宋_GB2312" w:cs="仿宋_GB2312"/>
          <w:sz w:val="32"/>
          <w:szCs w:val="32"/>
        </w:rPr>
        <w:t>加强公务接待就餐管理，制定完善了相关管理制度，严格审批程序，减少不必要的开支，降低接待次数及标准，严格执行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财政关于公务接待各项规定，杜绝了铺张浪费现象。</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年没有使用政府性基金预算拨款安排的</w:t>
      </w:r>
      <w:r>
        <w:rPr>
          <w:rFonts w:hint="eastAsia" w:ascii="仿宋_GB2312" w:hAnsi="仿宋_GB2312" w:eastAsia="仿宋_GB2312" w:cs="仿宋_GB2312"/>
          <w:sz w:val="32"/>
          <w:szCs w:val="32"/>
          <w:lang w:eastAsia="zh-CN"/>
        </w:rPr>
        <w:t>收支</w:t>
      </w:r>
      <w:r>
        <w:rPr>
          <w:rFonts w:hint="eastAsia" w:ascii="仿宋_GB2312" w:hAnsi="仿宋_GB2312" w:eastAsia="仿宋_GB2312" w:cs="仿宋_GB2312"/>
          <w:sz w:val="32"/>
          <w:szCs w:val="32"/>
        </w:rPr>
        <w:t>。</w:t>
      </w:r>
    </w:p>
    <w:p>
      <w:pPr>
        <w:wordWrap/>
        <w:spacing w:before="0" w:after="0" w:line="60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w:t>
      </w:r>
      <w:r>
        <w:rPr>
          <w:rFonts w:hint="eastAsia" w:ascii="黑体" w:hAnsi="黑体" w:eastAsia="黑体" w:cs="黑体"/>
          <w:kern w:val="0"/>
          <w:sz w:val="32"/>
          <w:szCs w:val="32"/>
          <w:lang w:eastAsia="zh-CN"/>
        </w:rPr>
        <w:t>有资本经营</w:t>
      </w:r>
      <w:r>
        <w:rPr>
          <w:rFonts w:hint="eastAsia" w:ascii="黑体" w:hAnsi="黑体" w:eastAsia="黑体" w:cs="黑体"/>
          <w:kern w:val="0"/>
          <w:sz w:val="32"/>
          <w:szCs w:val="32"/>
        </w:rPr>
        <w:t>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lang w:val="en-US" w:eastAsia="zh-CN"/>
        </w:rPr>
        <w:t>我单位2018年没有使用国有资本经营预算拨款安排</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收支</w:t>
      </w:r>
      <w:r>
        <w:rPr>
          <w:rFonts w:hint="eastAsia" w:ascii="仿宋_GB2312" w:hAnsi="仿宋_GB2312" w:eastAsia="仿宋_GB2312" w:cs="仿宋_GB2312"/>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21.96</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widowControl w:val="0"/>
        <w:wordWrap/>
        <w:overflowPunct w:val="0"/>
        <w:topLinePunct w:val="1"/>
        <w:autoSpaceDE w:val="0"/>
        <w:autoSpaceDN w:val="0"/>
        <w:adjustRightInd w:val="0"/>
        <w:snapToGrid w:val="0"/>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年政府采购预算安排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购买电脑7台、打印机5台、文件柜5个、桌子5张、椅子5把。</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2017年，我单位未开展绩效评价。2018年，我单位部门预算纳入绩效管理的支出总额为166.53万元，其中人员经费支出121.17万元，公用经费支出21.96万元，支出项目共3个，支出总额23.4万元.</w:t>
      </w:r>
    </w:p>
    <w:p>
      <w:pPr>
        <w:pStyle w:val="3"/>
        <w:spacing w:line="600" w:lineRule="atLeast"/>
        <w:ind w:left="420"/>
        <w:rPr>
          <w:rFonts w:hint="eastAsia" w:ascii="楷体" w:hAnsi="楷体" w:eastAsia="楷体" w:cs="楷体"/>
          <w:b w:val="0"/>
          <w:bCs/>
          <w:kern w:val="0"/>
          <w:sz w:val="32"/>
          <w:szCs w:val="32"/>
          <w:lang w:val="en-US" w:eastAsia="zh-CN" w:bidi="ar-SA"/>
        </w:rPr>
      </w:pPr>
      <w:r>
        <w:rPr>
          <w:rFonts w:hint="eastAsia" w:ascii="楷体" w:hAnsi="楷体" w:eastAsia="楷体" w:cs="楷体"/>
          <w:b w:val="0"/>
          <w:bCs/>
          <w:kern w:val="0"/>
          <w:sz w:val="32"/>
          <w:szCs w:val="32"/>
          <w:lang w:val="en-US" w:eastAsia="zh-CN" w:bidi="ar-SA"/>
        </w:rPr>
        <w:t>（四）国有资产占用情况</w:t>
      </w:r>
    </w:p>
    <w:p>
      <w:pPr>
        <w:pStyle w:val="3"/>
        <w:spacing w:line="600" w:lineRule="atLeast"/>
        <w:rPr>
          <w:rFonts w:hint="eastAsia" w:ascii="仿宋_GB2312" w:eastAsia="仿宋_GB2312"/>
          <w:sz w:val="32"/>
          <w:szCs w:val="32"/>
        </w:rPr>
      </w:pPr>
      <w:r>
        <w:rPr>
          <w:rFonts w:hint="eastAsia" w:ascii="仿宋_GB2312" w:eastAsia="仿宋_GB2312"/>
          <w:sz w:val="32"/>
          <w:szCs w:val="32"/>
        </w:rPr>
        <w:t xml:space="preserve">    2017年期末，</w:t>
      </w:r>
      <w:r>
        <w:rPr>
          <w:rFonts w:hint="eastAsia" w:ascii="仿宋_GB2312" w:eastAsia="仿宋_GB2312"/>
          <w:sz w:val="32"/>
          <w:szCs w:val="32"/>
          <w:lang w:eastAsia="zh-CN"/>
        </w:rPr>
        <w:t>组织部</w:t>
      </w:r>
      <w:r>
        <w:rPr>
          <w:rFonts w:hint="eastAsia" w:ascii="仿宋_GB2312" w:eastAsia="仿宋_GB2312"/>
          <w:sz w:val="32"/>
          <w:szCs w:val="32"/>
        </w:rPr>
        <w:t>固定资产总额</w:t>
      </w:r>
      <w:r>
        <w:rPr>
          <w:rFonts w:hint="eastAsia" w:ascii="仿宋_GB2312" w:eastAsia="仿宋_GB2312"/>
          <w:sz w:val="32"/>
          <w:szCs w:val="32"/>
          <w:lang w:val="en-US" w:eastAsia="zh-CN"/>
        </w:rPr>
        <w:t>139.3383</w:t>
      </w:r>
      <w:r>
        <w:rPr>
          <w:rFonts w:hint="eastAsia" w:ascii="仿宋_GB2312" w:eastAsia="仿宋_GB2312"/>
          <w:sz w:val="32"/>
          <w:szCs w:val="32"/>
        </w:rPr>
        <w:t>万元，其中，房屋建筑物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0</w:t>
      </w:r>
      <w:bookmarkStart w:id="0" w:name="_GoBack"/>
      <w:bookmarkEnd w:id="0"/>
      <w:r>
        <w:rPr>
          <w:rFonts w:hint="eastAsia" w:ascii="仿宋_GB2312" w:eastAsia="仿宋_GB2312"/>
          <w:sz w:val="32"/>
          <w:szCs w:val="32"/>
        </w:rPr>
        <w:t>万元。共有车辆</w:t>
      </w:r>
      <w:r>
        <w:rPr>
          <w:rFonts w:hint="eastAsia" w:ascii="仿宋_GB2312" w:eastAsia="仿宋_GB2312"/>
          <w:sz w:val="32"/>
          <w:szCs w:val="32"/>
          <w:lang w:val="en-US" w:eastAsia="zh-CN"/>
        </w:rPr>
        <w:t>0</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辆，执法执勤车</w:t>
      </w:r>
      <w:r>
        <w:rPr>
          <w:rFonts w:hint="eastAsia" w:ascii="仿宋_GB2312" w:eastAsia="仿宋_GB2312"/>
          <w:sz w:val="32"/>
          <w:szCs w:val="32"/>
          <w:lang w:val="en-US" w:eastAsia="zh-CN"/>
        </w:rPr>
        <w:t>0</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wordWrap/>
        <w:overflowPunct w:val="0"/>
        <w:topLinePunct w:val="1"/>
        <w:autoSpaceDE w:val="0"/>
        <w:autoSpaceDN w:val="0"/>
        <w:adjustRightInd w:val="0"/>
        <w:snapToGrid w:val="0"/>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widowControl w:val="0"/>
        <w:wordWrap/>
        <w:overflowPunct w:val="0"/>
        <w:topLinePunct w:val="1"/>
        <w:autoSpaceDE w:val="0"/>
        <w:autoSpaceDN w:val="0"/>
        <w:adjustRightInd w:val="0"/>
        <w:snapToGrid w:val="0"/>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八、公务员事务：反映公务员考核、公务员招考、公务员管理、公务员履职能力提升方面的支出。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组织部</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2FF" w:usb1="420024FF" w:usb2="00000000" w:usb3="00000000" w:csb0="2000019F"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DengXian Light Western">
    <w:altName w:val="Segoe Print"/>
    <w:panose1 w:val="00000000000000000000"/>
    <w:charset w:val="00"/>
    <w:family w:val="auto"/>
    <w:pitch w:val="default"/>
    <w:sig w:usb0="00000000" w:usb1="00000000" w:usb2="00000000" w:usb3="00000000" w:csb0="00000001" w:csb1="00000000"/>
  </w:font>
  <w:font w:name="DengXian Light CE">
    <w:altName w:val="Segoe Print"/>
    <w:panose1 w:val="00000000000000000000"/>
    <w:charset w:val="EE"/>
    <w:family w:val="auto"/>
    <w:pitch w:val="default"/>
    <w:sig w:usb0="00000000" w:usb1="00000000" w:usb2="00000000" w:usb3="00000000" w:csb0="00000002" w:csb1="00000000"/>
  </w:font>
  <w:font w:name="DengXian Light Cyr">
    <w:altName w:val="Segoe Print"/>
    <w:panose1 w:val="00000000000000000000"/>
    <w:charset w:val="CC"/>
    <w:family w:val="auto"/>
    <w:pitch w:val="default"/>
    <w:sig w:usb0="00000000" w:usb1="00000000" w:usb2="00000000" w:usb3="00000000" w:csb0="00000004" w:csb1="00000000"/>
  </w:font>
  <w:font w:name="DengXian Light Greek">
    <w:altName w:val="Segoe Print"/>
    <w:panose1 w:val="00000000000000000000"/>
    <w:charset w:val="A1"/>
    <w:family w:val="auto"/>
    <w:pitch w:val="default"/>
    <w:sig w:usb0="00000000" w:usb1="00000000" w:usb2="00000000" w:usb3="00000000" w:csb0="00000008" w:csb1="00000000"/>
  </w:font>
  <w:font w:name="DengXian Western">
    <w:altName w:val="Segoe Print"/>
    <w:panose1 w:val="00000000000000000000"/>
    <w:charset w:val="00"/>
    <w:family w:val="auto"/>
    <w:pitch w:val="default"/>
    <w:sig w:usb0="00000000" w:usb1="00000000" w:usb2="00000000" w:usb3="00000000" w:csb0="00000001" w:csb1="00000000"/>
  </w:font>
  <w:font w:name="DengXian CE">
    <w:altName w:val="Segoe Print"/>
    <w:panose1 w:val="00000000000000000000"/>
    <w:charset w:val="EE"/>
    <w:family w:val="auto"/>
    <w:pitch w:val="default"/>
    <w:sig w:usb0="00000000" w:usb1="00000000" w:usb2="00000000" w:usb3="00000000" w:csb0="00000002" w:csb1="00000000"/>
  </w:font>
  <w:font w:name="DengXian Cyr">
    <w:altName w:val="Segoe Print"/>
    <w:panose1 w:val="00000000000000000000"/>
    <w:charset w:val="CC"/>
    <w:family w:val="auto"/>
    <w:pitch w:val="default"/>
    <w:sig w:usb0="00000000" w:usb1="00000000" w:usb2="00000000" w:usb3="00000000" w:csb0="00000004" w:csb1="00000000"/>
  </w:font>
  <w:font w:name="DengXian Greek">
    <w:altName w:val="Segoe Print"/>
    <w:panose1 w:val="00000000000000000000"/>
    <w:charset w:val="A1"/>
    <w:family w:val="auto"/>
    <w:pitch w:val="default"/>
    <w:sig w:usb0="00000000" w:usb1="00000000" w:usb2="00000000" w:usb3="00000000" w:csb0="00000008" w:csb1="00000000"/>
  </w:font>
  <w:font w:name="HakusyuGyosyoPro_kk">
    <w:altName w:val="MS UI Gothic"/>
    <w:panose1 w:val="02000609000000000000"/>
    <w:charset w:val="80"/>
    <w:family w:val="auto"/>
    <w:pitch w:val="default"/>
    <w:sig w:usb0="A00002BF" w:usb1="68C7FCFB" w:usb2="00000010" w:usb3="00000000" w:csb0="4002009F" w:csb1="DFD7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907436">
    <w:nsid w:val="5A796DEC"/>
    <w:multiLevelType w:val="singleLevel"/>
    <w:tmpl w:val="5A796DEC"/>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num w:numId="1">
    <w:abstractNumId w:val="1517907436"/>
  </w:num>
  <w:num w:numId="2">
    <w:abstractNumId w:val="1520564614"/>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2019-03-17T08:23:35Z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