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2018年度温县殡仪馆单位预算公开</w:t>
      </w:r>
    </w:p>
    <w:p>
      <w:pPr>
        <w:kinsoku w:val="0"/>
        <w:overflowPunct w:val="0"/>
        <w:adjustRightInd w:val="0"/>
        <w:snapToGrid w:val="0"/>
        <w:spacing w:line="360" w:lineRule="auto"/>
        <w:ind w:left="101" w:right="3569" w:firstLine="640"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z w:val="32"/>
          <w:szCs w:val="32"/>
        </w:rPr>
        <w:t>2018年度部门预算情况说明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2018年度部门预算表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p>
    <w:p>
      <w:pPr>
        <w:kinsoku w:val="0"/>
        <w:overflowPunct w:val="0"/>
        <w:adjustRightInd w:val="0"/>
        <w:snapToGrid w:val="0"/>
        <w:spacing w:line="360" w:lineRule="auto"/>
        <w:ind w:left="101" w:right="521" w:firstLine="640" w:firstLineChars="200"/>
        <w:rPr>
          <w:rFonts w:ascii="仿宋_GB2312" w:hAnsi="仿宋_GB2312" w:eastAsia="仿宋_GB2312" w:cs="仿宋_GB2312"/>
          <w:sz w:val="32"/>
          <w:szCs w:val="32"/>
        </w:rPr>
      </w:pPr>
    </w:p>
    <w:p>
      <w:pPr>
        <w:adjustRightInd w:val="0"/>
        <w:snapToGrid w:val="0"/>
        <w:spacing w:line="60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 xml:space="preserve"> 第一部分</w:t>
      </w:r>
    </w:p>
    <w:p>
      <w:pPr>
        <w:adjustRightInd w:val="0"/>
        <w:snapToGrid w:val="0"/>
        <w:spacing w:line="600" w:lineRule="exact"/>
        <w:jc w:val="center"/>
        <w:rPr>
          <w:rFonts w:ascii="仿宋" w:hAnsi="仿宋" w:eastAsia="仿宋" w:cs="仿宋"/>
          <w:sz w:val="32"/>
          <w:szCs w:val="32"/>
        </w:rPr>
      </w:pPr>
      <w:r>
        <w:rPr>
          <w:rFonts w:hint="eastAsia" w:ascii="仿宋" w:hAnsi="仿宋" w:eastAsia="仿宋" w:cs="仿宋"/>
          <w:sz w:val="32"/>
          <w:szCs w:val="32"/>
        </w:rPr>
        <w:t>温县殡仪馆单位概况</w:t>
      </w:r>
    </w:p>
    <w:p>
      <w:pPr>
        <w:rPr>
          <w:rFonts w:ascii="仿宋" w:hAnsi="仿宋" w:eastAsia="仿宋" w:cs="仿宋"/>
          <w:sz w:val="32"/>
          <w:szCs w:val="32"/>
        </w:rPr>
      </w:pP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一、主要职责</w:t>
      </w:r>
    </w:p>
    <w:p>
      <w:pPr>
        <w:adjustRightInd w:val="0"/>
        <w:snapToGrid w:val="0"/>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(一)机构设置情况</w:t>
      </w:r>
    </w:p>
    <w:p>
      <w:pPr>
        <w:ind w:firstLine="640" w:firstLineChars="200"/>
        <w:rPr>
          <w:rFonts w:ascii="仿宋" w:hAnsi="仿宋" w:eastAsia="仿宋" w:cs="仿宋"/>
          <w:sz w:val="32"/>
          <w:szCs w:val="32"/>
        </w:rPr>
      </w:pPr>
      <w:r>
        <w:rPr>
          <w:rFonts w:hint="eastAsia" w:ascii="仿宋" w:hAnsi="仿宋" w:eastAsia="仿宋" w:cs="仿宋"/>
          <w:sz w:val="32"/>
          <w:szCs w:val="32"/>
        </w:rPr>
        <w:t>殡仪馆下设办公室、业务室、火化车间、车队、执法队五个业务室。</w:t>
      </w:r>
    </w:p>
    <w:p>
      <w:pPr>
        <w:numPr>
          <w:ilvl w:val="0"/>
          <w:numId w:val="1"/>
        </w:numPr>
        <w:ind w:left="64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部门职责</w:t>
      </w:r>
    </w:p>
    <w:p>
      <w:pPr>
        <w:numPr>
          <w:ilvl w:val="0"/>
          <w:numId w:val="2"/>
        </w:numPr>
        <w:ind w:left="640"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宣传殡改政策，引导群众树立科学、文明、健康的丧葬习俗。</w:t>
      </w:r>
    </w:p>
    <w:p>
      <w:pPr>
        <w:numPr>
          <w:ilvl w:val="0"/>
          <w:numId w:val="2"/>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配合上级部门监督检查殡葬法规的执行情况，会同有关部门处理违法丧葬案件。</w:t>
      </w:r>
    </w:p>
    <w:p>
      <w:pPr>
        <w:numPr>
          <w:ilvl w:val="0"/>
          <w:numId w:val="2"/>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担负全县境内的遗体接运、火化任务。</w:t>
      </w:r>
    </w:p>
    <w:p>
      <w:pPr>
        <w:numPr>
          <w:ilvl w:val="0"/>
          <w:numId w:val="2"/>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提供遗体冷藏、整容化妆、悼念服务以及骨灰寄存等系列化服务。</w:t>
      </w:r>
    </w:p>
    <w:p>
      <w:pPr>
        <w:numPr>
          <w:ilvl w:val="0"/>
          <w:numId w:val="2"/>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完成上级部门交办的其他工作任务。</w:t>
      </w:r>
    </w:p>
    <w:p>
      <w:pPr>
        <w:kinsoku w:val="0"/>
        <w:overflowPunct w:val="0"/>
        <w:adjustRightInd w:val="0"/>
        <w:snapToGrid w:val="0"/>
        <w:spacing w:line="600" w:lineRule="exact"/>
        <w:ind w:right="3569" w:firstLine="640" w:firstLineChars="200"/>
        <w:jc w:val="left"/>
        <w:outlineLvl w:val="0"/>
        <w:rPr>
          <w:rFonts w:ascii="仿宋_GB2312" w:hAnsi="仿宋_GB2312" w:eastAsia="仿宋_GB2312" w:cs="仿宋_GB2312"/>
          <w:sz w:val="32"/>
          <w:szCs w:val="32"/>
        </w:rPr>
      </w:pPr>
      <w:r>
        <w:rPr>
          <w:rFonts w:hint="eastAsia" w:ascii="仿宋" w:hAnsi="仿宋" w:eastAsia="仿宋" w:cs="仿宋"/>
          <w:sz w:val="32"/>
          <w:szCs w:val="32"/>
        </w:rPr>
        <w:t>二、部门预算单位构成</w:t>
      </w:r>
    </w:p>
    <w:p>
      <w:pPr>
        <w:widowControl w:val="0"/>
        <w:numPr>
          <w:numId w:val="0"/>
        </w:numPr>
        <w:wordWrap/>
        <w:adjustRightInd/>
        <w:snapToGrid/>
        <w:spacing w:before="0" w:after="0" w:line="592" w:lineRule="atLeast"/>
        <w:ind w:right="0" w:firstLine="640" w:firstLineChars="200"/>
        <w:jc w:val="both"/>
        <w:textAlignment w:val="bottom"/>
        <w:outlineLvl w:val="9"/>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我单位有二级机构0个，本预算仅为本级单位预算，纳入我单位2018年部门预算编报范围为：温县殡仪馆本级。</w:t>
      </w:r>
    </w:p>
    <w:p>
      <w:pPr>
        <w:adjustRightInd w:val="0"/>
        <w:snapToGrid w:val="0"/>
        <w:spacing w:line="600" w:lineRule="exact"/>
        <w:jc w:val="center"/>
        <w:rPr>
          <w:rFonts w:ascii="方正小标宋简体" w:hAnsi="方正小标宋简体" w:eastAsia="方正小标宋简体" w:cs="方正小标宋简体"/>
          <w:sz w:val="32"/>
          <w:szCs w:val="32"/>
        </w:rPr>
      </w:pPr>
    </w:p>
    <w:p>
      <w:pPr>
        <w:adjustRightInd w:val="0"/>
        <w:snapToGrid w:val="0"/>
        <w:spacing w:line="600" w:lineRule="exact"/>
        <w:jc w:val="center"/>
        <w:rPr>
          <w:rFonts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2018年度部门预算情况说明</w:t>
      </w:r>
    </w:p>
    <w:p>
      <w:pPr>
        <w:adjustRightInd w:val="0"/>
        <w:snapToGrid w:val="0"/>
        <w:spacing w:line="600" w:lineRule="exact"/>
        <w:ind w:firstLine="640" w:firstLineChars="200"/>
        <w:rPr>
          <w:rFonts w:ascii="方正小标宋简体" w:hAnsi="方正小标宋简体" w:eastAsia="方正小标宋简体" w:cs="方正小标宋简体"/>
          <w:sz w:val="32"/>
          <w:szCs w:val="32"/>
        </w:rPr>
      </w:pP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一、收入支出预算总体情况说明</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温县殡仪馆</w:t>
      </w:r>
      <w:r>
        <w:rPr>
          <w:rFonts w:hint="eastAsia" w:ascii="仿宋_GB2312" w:hAnsi="仿宋_GB2312" w:eastAsia="仿宋_GB2312" w:cs="仿宋_GB2312"/>
          <w:sz w:val="32"/>
          <w:szCs w:val="32"/>
        </w:rPr>
        <w:t>2018年收入总计160.23万元，支出总计160.23万元，与2017年相比，收、支总计各减少</w:t>
      </w:r>
      <w:r>
        <w:rPr>
          <w:rFonts w:hint="eastAsia" w:ascii="仿宋_GB2312" w:hAnsi="仿宋_GB2312" w:eastAsia="仿宋_GB2312" w:cs="仿宋_GB2312"/>
          <w:sz w:val="32"/>
          <w:szCs w:val="32"/>
          <w:lang w:val="en-US" w:eastAsia="zh-CN"/>
        </w:rPr>
        <w:t>27.6981</w:t>
      </w:r>
      <w:r>
        <w:rPr>
          <w:rFonts w:hint="eastAsia" w:ascii="仿宋_GB2312" w:hAnsi="仿宋_GB2312" w:eastAsia="仿宋_GB2312" w:cs="仿宋_GB2312"/>
          <w:sz w:val="32"/>
          <w:szCs w:val="32"/>
        </w:rPr>
        <w:t>万元，减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lang w:val="en-US" w:eastAsia="zh-CN"/>
        </w:rPr>
        <w:t>14.74</w:t>
      </w:r>
      <w:r>
        <w:rPr>
          <w:rFonts w:hint="eastAsia" w:ascii="仿宋_GB2312" w:hAnsi="仿宋_GB2312" w:eastAsia="仿宋_GB2312" w:cs="仿宋_GB2312"/>
          <w:sz w:val="32"/>
          <w:szCs w:val="32"/>
        </w:rPr>
        <w:t>%。主要原因：人员工资支出减少。</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 w:hAnsi="仿宋" w:eastAsia="仿宋" w:cs="仿宋"/>
          <w:sz w:val="32"/>
          <w:szCs w:val="32"/>
        </w:rPr>
        <w:t>温县殡仪馆</w:t>
      </w:r>
      <w:r>
        <w:rPr>
          <w:rFonts w:hint="eastAsia" w:ascii="仿宋_GB2312" w:hAnsi="仿宋_GB2312" w:eastAsia="仿宋_GB2312" w:cs="仿宋_GB2312"/>
          <w:sz w:val="32"/>
          <w:szCs w:val="32"/>
        </w:rPr>
        <w:t>2018年收入合计 160.23万元，其中：一般公共预算合计160.23万元，本级财力110.23万元，非税收入50万元，上级转移支付收入0万元，其他收入0万元；政府性基金收入0万元。</w:t>
      </w:r>
    </w:p>
    <w:p>
      <w:pPr>
        <w:spacing w:line="600" w:lineRule="exact"/>
        <w:ind w:firstLine="640" w:firstLineChars="200"/>
        <w:outlineLvl w:val="0"/>
        <w:rPr>
          <w:rFonts w:ascii="仿宋_GB2312" w:hAnsi="仿宋_GB2312" w:eastAsia="仿宋_GB2312" w:cs="仿宋_GB2312"/>
          <w:sz w:val="32"/>
          <w:szCs w:val="32"/>
        </w:rPr>
      </w:pPr>
      <w:r>
        <w:rPr>
          <w:rFonts w:hint="eastAsia" w:ascii="黑体" w:hAnsi="黑体" w:eastAsia="黑体"/>
          <w:sz w:val="32"/>
          <w:szCs w:val="32"/>
        </w:rPr>
        <w:t>三、支出预算总体情况说明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温县殡仪馆</w:t>
      </w:r>
      <w:r>
        <w:rPr>
          <w:rFonts w:hint="eastAsia" w:ascii="仿宋_GB2312" w:hAnsi="仿宋_GB2312" w:eastAsia="仿宋_GB2312" w:cs="仿宋_GB2312"/>
          <w:sz w:val="32"/>
          <w:szCs w:val="32"/>
        </w:rPr>
        <w:t>2018年支出合计160.23万元，其中：基本支出120.13万元，占比为74.97%；项目支出40.1万元，占比为25.03%。</w:t>
      </w:r>
    </w:p>
    <w:p>
      <w:pPr>
        <w:pStyle w:val="4"/>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4"/>
        <w:spacing w:line="600" w:lineRule="atLeast"/>
        <w:ind w:firstLine="640"/>
        <w:rPr>
          <w:rFonts w:hint="eastAsia" w:ascii="仿宋_GB2312" w:eastAsia="仿宋_GB2312"/>
          <w:sz w:val="32"/>
          <w:szCs w:val="32"/>
        </w:rPr>
      </w:pPr>
      <w:r>
        <w:rPr>
          <w:rFonts w:hint="eastAsia" w:ascii="仿宋" w:hAnsi="仿宋" w:eastAsia="仿宋" w:cs="仿宋"/>
          <w:sz w:val="32"/>
          <w:szCs w:val="32"/>
        </w:rPr>
        <w:t>温县殡仪馆</w:t>
      </w:r>
      <w:r>
        <w:rPr>
          <w:rFonts w:hint="eastAsia" w:ascii="仿宋_GB2312" w:eastAsia="仿宋_GB2312"/>
          <w:sz w:val="32"/>
          <w:szCs w:val="32"/>
        </w:rPr>
        <w:t>2018年一般公共预算收支预算</w:t>
      </w:r>
      <w:r>
        <w:rPr>
          <w:rFonts w:hint="eastAsia" w:ascii="仿宋_GB2312" w:hAnsi="仿宋_GB2312" w:eastAsia="仿宋_GB2312" w:cs="仿宋_GB2312"/>
          <w:sz w:val="32"/>
          <w:szCs w:val="32"/>
        </w:rPr>
        <w:t>160.2</w:t>
      </w: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27.6981</w:t>
      </w:r>
      <w:r>
        <w:rPr>
          <w:rFonts w:hint="eastAsia" w:ascii="仿宋_GB2312" w:eastAsia="仿宋_GB2312"/>
          <w:sz w:val="32"/>
          <w:szCs w:val="32"/>
        </w:rPr>
        <w:t>万元，</w:t>
      </w:r>
      <w:r>
        <w:rPr>
          <w:rFonts w:hint="eastAsia" w:ascii="仿宋_GB2312" w:hAnsi="仿宋_GB2312" w:eastAsia="仿宋_GB2312" w:cs="仿宋_GB2312"/>
          <w:sz w:val="32"/>
          <w:szCs w:val="32"/>
        </w:rPr>
        <w:t>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lang w:val="en-US" w:eastAsia="zh-CN"/>
        </w:rPr>
        <w:t>14.74</w:t>
      </w:r>
      <w:r>
        <w:rPr>
          <w:rFonts w:hint="eastAsia" w:ascii="仿宋_GB2312" w:eastAsia="仿宋_GB2312"/>
          <w:sz w:val="32"/>
          <w:szCs w:val="32"/>
        </w:rPr>
        <w:t>%，主要原因：</w:t>
      </w:r>
      <w:r>
        <w:rPr>
          <w:rFonts w:hint="eastAsia" w:ascii="仿宋_GB2312" w:hAnsi="仿宋_GB2312" w:eastAsia="仿宋_GB2312" w:cs="仿宋_GB2312"/>
          <w:sz w:val="32"/>
          <w:szCs w:val="32"/>
        </w:rPr>
        <w:t>人员工资支出减少</w:t>
      </w:r>
      <w:r>
        <w:rPr>
          <w:rFonts w:hint="eastAsia" w:ascii="仿宋_GB2312" w:eastAsia="仿宋_GB2312"/>
          <w:sz w:val="32"/>
          <w:szCs w:val="32"/>
        </w:rPr>
        <w:t>；政府性基金收支</w:t>
      </w:r>
      <w:r>
        <w:rPr>
          <w:rFonts w:hint="eastAsia" w:ascii="仿宋_GB2312" w:eastAsia="仿宋_GB2312"/>
          <w:sz w:val="32"/>
          <w:szCs w:val="32"/>
          <w:lang w:eastAsia="zh-CN"/>
        </w:rPr>
        <w:t>预算与</w:t>
      </w:r>
      <w:r>
        <w:rPr>
          <w:rFonts w:hint="eastAsia" w:ascii="仿宋_GB2312" w:eastAsia="仿宋_GB2312"/>
          <w:sz w:val="32"/>
          <w:szCs w:val="32"/>
          <w:lang w:val="en-US" w:eastAsia="zh-CN"/>
        </w:rPr>
        <w:t>2017年保持一致。</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4"/>
        <w:spacing w:line="600" w:lineRule="atLeast"/>
        <w:ind w:firstLine="640"/>
        <w:rPr>
          <w:rFonts w:hint="eastAsia" w:ascii="仿宋_GB2312" w:eastAsia="仿宋_GB2312"/>
          <w:sz w:val="32"/>
          <w:szCs w:val="32"/>
          <w:lang w:val="en-US" w:eastAsia="zh-CN"/>
        </w:rPr>
      </w:pPr>
      <w:r>
        <w:rPr>
          <w:rFonts w:hint="eastAsia" w:ascii="仿宋" w:hAnsi="仿宋" w:eastAsia="仿宋" w:cs="仿宋"/>
          <w:sz w:val="32"/>
          <w:szCs w:val="32"/>
        </w:rPr>
        <w:t>温县殡仪馆</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160.23</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154.76</w:t>
      </w:r>
      <w:r>
        <w:rPr>
          <w:rFonts w:hint="eastAsia" w:ascii="仿宋_GB2312" w:eastAsia="仿宋_GB2312"/>
          <w:sz w:val="32"/>
          <w:szCs w:val="32"/>
        </w:rPr>
        <w:t>万元，占</w:t>
      </w:r>
      <w:r>
        <w:rPr>
          <w:rFonts w:hint="eastAsia" w:ascii="仿宋_GB2312" w:eastAsia="仿宋_GB2312"/>
          <w:sz w:val="32"/>
          <w:szCs w:val="32"/>
          <w:lang w:val="en-US" w:eastAsia="zh-CN"/>
        </w:rPr>
        <w:t>96.6</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5.47</w:t>
      </w:r>
      <w:r>
        <w:rPr>
          <w:rFonts w:hint="eastAsia" w:ascii="仿宋_GB2312" w:eastAsia="仿宋_GB2312"/>
          <w:sz w:val="32"/>
          <w:szCs w:val="32"/>
        </w:rPr>
        <w:t>万元，占</w:t>
      </w:r>
      <w:r>
        <w:rPr>
          <w:rFonts w:hint="eastAsia" w:ascii="仿宋_GB2312" w:eastAsia="仿宋_GB2312"/>
          <w:sz w:val="32"/>
          <w:szCs w:val="32"/>
          <w:lang w:val="en-US" w:eastAsia="zh-CN"/>
        </w:rPr>
        <w:t>3.4</w:t>
      </w:r>
      <w:r>
        <w:rPr>
          <w:rFonts w:hint="eastAsia" w:ascii="仿宋_GB2312" w:eastAsia="仿宋_GB2312"/>
          <w:sz w:val="32"/>
          <w:szCs w:val="32"/>
        </w:rPr>
        <w:t>%</w:t>
      </w:r>
      <w:r>
        <w:rPr>
          <w:rFonts w:hint="eastAsia" w:ascii="仿宋_GB2312" w:eastAsia="仿宋_GB2312"/>
          <w:sz w:val="32"/>
          <w:szCs w:val="32"/>
          <w:lang w:eastAsia="zh-CN"/>
        </w:rPr>
        <w:t>。</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温县殡仪馆</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120.13</w:t>
      </w:r>
      <w:r>
        <w:rPr>
          <w:rFonts w:hint="eastAsia" w:ascii="仿宋_GB2312" w:eastAsia="仿宋_GB2312"/>
          <w:sz w:val="32"/>
          <w:szCs w:val="32"/>
        </w:rPr>
        <w:t>万元，其中：人员经费</w:t>
      </w:r>
      <w:r>
        <w:rPr>
          <w:rFonts w:hint="eastAsia" w:ascii="仿宋_GB2312" w:eastAsia="仿宋_GB2312"/>
          <w:sz w:val="32"/>
          <w:szCs w:val="32"/>
          <w:lang w:val="en-US" w:eastAsia="zh-CN"/>
        </w:rPr>
        <w:t>111.43</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基本工资、津贴补贴、绩效工资、机关事业单位基本养老保险缴费、职业年金缴费、医疗保险缴费、其他社会保障缴费、其他工资福利支出、退休费、其他对个人和家庭的补助支出；公用经费</w:t>
      </w:r>
      <w:r>
        <w:rPr>
          <w:rFonts w:hint="eastAsia" w:ascii="仿宋_GB2312" w:eastAsia="仿宋_GB2312"/>
          <w:sz w:val="32"/>
          <w:szCs w:val="32"/>
          <w:lang w:val="en-US" w:eastAsia="zh-CN"/>
        </w:rPr>
        <w:t>8.7</w:t>
      </w:r>
      <w:r>
        <w:rPr>
          <w:rFonts w:hint="eastAsia" w:ascii="仿宋_GB2312" w:eastAsia="仿宋_GB2312"/>
          <w:sz w:val="32"/>
          <w:szCs w:val="32"/>
        </w:rPr>
        <w:t>万元，主要包括：电费、公务用车运行维护费。</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、“三公”经费支出预算情况说明</w:t>
      </w:r>
    </w:p>
    <w:p>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温县殡仪馆</w:t>
      </w:r>
      <w:r>
        <w:rPr>
          <w:rFonts w:hint="eastAsia" w:ascii="仿宋_GB2312" w:hAnsi="仿宋_GB2312" w:eastAsia="仿宋_GB2312" w:cs="仿宋_GB2312"/>
          <w:sz w:val="32"/>
          <w:szCs w:val="32"/>
        </w:rPr>
        <w:t>2018 年“三公”经费预算为7.5万元。2018年“三公”经费支出预算数比 2017年预算数减少</w:t>
      </w:r>
      <w:r>
        <w:rPr>
          <w:rFonts w:hint="eastAsia" w:ascii="仿宋_GB2312" w:hAnsi="仿宋_GB2312" w:eastAsia="仿宋_GB2312" w:cs="仿宋_GB2312"/>
          <w:sz w:val="32"/>
          <w:szCs w:val="32"/>
          <w:lang w:val="en-US" w:eastAsia="zh-CN"/>
        </w:rPr>
        <w:t>11.98</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rPr>
        <w:t xml:space="preserve"> 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2017年预算数持平，增长0%。</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rPr>
        <w:t>7.5</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元。其中公务车辆购置费0万元，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2017年预算数持平，增长0%</w:t>
      </w:r>
      <w:r>
        <w:rPr>
          <w:rFonts w:hint="eastAsia" w:ascii="仿宋_GB2312" w:hAnsi="仿宋_GB2312" w:eastAsia="仿宋_GB2312" w:cs="仿宋_GB2312"/>
          <w:sz w:val="32"/>
          <w:szCs w:val="32"/>
        </w:rPr>
        <w:t>。公车运行维护费7.5万元，主要用于燃料费、维修费、过路过桥费、保险费、安全奖励费用等支出。比2017年减少</w:t>
      </w:r>
      <w:r>
        <w:rPr>
          <w:rFonts w:hint="eastAsia" w:ascii="仿宋_GB2312" w:hAnsi="仿宋_GB2312" w:eastAsia="仿宋_GB2312" w:cs="仿宋_GB2312"/>
          <w:sz w:val="32"/>
          <w:szCs w:val="32"/>
          <w:lang w:val="en-US" w:eastAsia="zh-CN"/>
        </w:rPr>
        <w:t>11.98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lang w:val="en-US" w:eastAsia="zh-CN"/>
        </w:rPr>
        <w:t>2018年没有</w:t>
      </w:r>
      <w:bookmarkStart w:id="0" w:name="_GoBack"/>
      <w:bookmarkEnd w:id="0"/>
      <w:r>
        <w:rPr>
          <w:rFonts w:hint="eastAsia" w:ascii="仿宋_GB2312" w:hAnsi="仿宋_GB2312" w:eastAsia="仿宋_GB2312" w:cs="仿宋_GB2312"/>
          <w:sz w:val="32"/>
          <w:szCs w:val="32"/>
          <w:lang w:val="en-US" w:eastAsia="zh-CN"/>
        </w:rPr>
        <w:t>购置公务用车</w:t>
      </w:r>
      <w:r>
        <w:rPr>
          <w:rFonts w:hint="eastAsia" w:ascii="仿宋_GB2312" w:hAnsi="仿宋_GB2312" w:eastAsia="仿宋_GB2312" w:cs="仿宋_GB2312"/>
          <w:sz w:val="32"/>
          <w:szCs w:val="32"/>
        </w:rPr>
        <w:t>。</w:t>
      </w:r>
    </w:p>
    <w:p>
      <w:pPr>
        <w:spacing w:line="600" w:lineRule="exact"/>
        <w:ind w:firstLine="639" w:firstLineChars="200"/>
        <w:outlineLvl w:val="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2017年预算数持平，增长0%</w:t>
      </w:r>
      <w:r>
        <w:rPr>
          <w:rFonts w:hint="eastAsia" w:ascii="仿宋_GB2312" w:hAnsi="仿宋_GB2312" w:eastAsia="仿宋_GB2312" w:cs="仿宋_GB2312"/>
          <w:sz w:val="32"/>
          <w:szCs w:val="32"/>
        </w:rPr>
        <w:t>。</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kern w:val="0"/>
          <w:sz w:val="32"/>
          <w:szCs w:val="32"/>
        </w:rPr>
        <w:t>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我单位2018年没有使用政府性基金预算拨款安排的收支。</w:t>
      </w:r>
    </w:p>
    <w:p>
      <w:pPr>
        <w:spacing w:line="600" w:lineRule="exact"/>
        <w:ind w:firstLine="640" w:firstLineChars="200"/>
        <w:rPr>
          <w:rFonts w:ascii="黑体" w:hAnsi="黑体" w:eastAsia="黑体"/>
          <w:kern w:val="0"/>
          <w:sz w:val="32"/>
          <w:szCs w:val="32"/>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黑体" w:hAnsi="黑体" w:eastAsia="黑体"/>
          <w:kern w:val="0"/>
          <w:sz w:val="32"/>
          <w:szCs w:val="32"/>
        </w:rPr>
        <w:t>国有资本经营预算支出</w:t>
      </w:r>
      <w:r>
        <w:rPr>
          <w:rFonts w:hint="eastAsia" w:ascii="黑体" w:hAnsi="黑体" w:eastAsia="黑体" w:cs="黑体"/>
          <w:kern w:val="0"/>
          <w:sz w:val="32"/>
          <w:szCs w:val="32"/>
          <w:lang w:eastAsia="zh-CN"/>
        </w:rPr>
        <w:t>预算</w:t>
      </w:r>
      <w:r>
        <w:rPr>
          <w:rFonts w:hint="eastAsia" w:ascii="黑体" w:hAnsi="黑体" w:eastAsia="黑体"/>
          <w:kern w:val="0"/>
          <w:sz w:val="32"/>
          <w:szCs w:val="32"/>
        </w:rPr>
        <w:t>情况说明</w:t>
      </w:r>
    </w:p>
    <w:p>
      <w:pPr>
        <w:spacing w:line="60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我单位2018年没有使用国有资本经营预算拨款安排的收支。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sz w:val="32"/>
          <w:szCs w:val="32"/>
        </w:rPr>
      </w:pPr>
      <w:r>
        <w:rPr>
          <w:rFonts w:hint="eastAsia" w:ascii="黑体" w:hAnsi="黑体" w:eastAsia="黑体"/>
          <w:spacing w:val="-1"/>
          <w:kern w:val="0"/>
          <w:sz w:val="32"/>
          <w:szCs w:val="32"/>
          <w:lang w:eastAsia="zh-CN"/>
        </w:rPr>
        <w:t>十</w:t>
      </w:r>
      <w:r>
        <w:rPr>
          <w:rFonts w:hint="eastAsia" w:ascii="黑体" w:hAnsi="黑体" w:eastAsia="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hint="eastAsia" w:ascii="楷体" w:hAnsi="楷体" w:eastAsia="楷体" w:cs="楷体"/>
          <w:bCs/>
          <w:kern w:val="0"/>
          <w:sz w:val="32"/>
          <w:szCs w:val="32"/>
        </w:rPr>
        <w:t xml:space="preserve">   （一）机关运行经费情况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2018年机关运行经费预算 9.9万元，主要保障机关机构正常运转及正常履职需要的办公费、水电费、物业费、维修费、差旅费等支出。其中：伙食补助费1.2万元，电费1.2万元，公务用车运行维护费7.5万元。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（二）政府采购支出情况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2018年政府采购预算安排0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（三）关于预算绩效管理工作开展情况说明</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我单位未开展绩效评价</w:t>
      </w:r>
      <w:r>
        <w:rPr>
          <w:rFonts w:hint="eastAsia" w:ascii="仿宋_GB2312" w:hAnsi="仿宋_GB2312" w:eastAsia="仿宋_GB2312" w:cs="仿宋_GB2312"/>
          <w:sz w:val="32"/>
          <w:szCs w:val="32"/>
        </w:rPr>
        <w:t>。</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160.23万元，其中人员经费支出111.43万元，公用经费支出8.7万元，支出项目共2个，支出总额40.1万元，其中预算支出30万元及以上应申报绩效的项目0个，支出总额0万元。</w:t>
      </w:r>
    </w:p>
    <w:p>
      <w:pPr>
        <w:kinsoku w:val="0"/>
        <w:overflowPunct w:val="0"/>
        <w:autoSpaceDE w:val="0"/>
        <w:autoSpaceDN w:val="0"/>
        <w:adjustRightInd w:val="0"/>
        <w:snapToGrid w:val="0"/>
        <w:spacing w:line="600" w:lineRule="exact"/>
        <w:ind w:firstLine="640" w:firstLineChars="200"/>
        <w:outlineLvl w:val="0"/>
        <w:rPr>
          <w:rFonts w:hint="eastAsia" w:ascii="黑体" w:hAnsi="黑体" w:eastAsia="黑体"/>
          <w:sz w:val="32"/>
          <w:szCs w:val="32"/>
        </w:rPr>
      </w:pPr>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四</w:t>
      </w:r>
      <w:r>
        <w:rPr>
          <w:rFonts w:hint="eastAsia" w:ascii="楷体" w:hAnsi="楷体" w:eastAsia="楷体" w:cs="楷体"/>
          <w:bCs/>
          <w:kern w:val="0"/>
          <w:sz w:val="32"/>
          <w:szCs w:val="32"/>
        </w:rPr>
        <w:t>）</w:t>
      </w:r>
      <w:r>
        <w:rPr>
          <w:rFonts w:hint="eastAsia" w:ascii="黑体" w:hAnsi="黑体" w:eastAsia="黑体"/>
          <w:sz w:val="32"/>
          <w:szCs w:val="32"/>
        </w:rPr>
        <w:t>国有资产占用情况</w:t>
      </w:r>
    </w:p>
    <w:p>
      <w:pPr>
        <w:numPr>
          <w:numId w:val="0"/>
        </w:numPr>
        <w:wordWrap/>
        <w:spacing w:before="0" w:after="0" w:line="600" w:lineRule="exact"/>
        <w:ind w:left="0" w:leftChars="0" w:firstLine="640" w:firstLineChars="200"/>
        <w:textAlignment w:val="auto"/>
        <w:rPr>
          <w:rFonts w:ascii="仿宋_GB2312" w:hAnsi="仿宋_GB2312" w:eastAsia="仿宋_GB2312" w:cs="仿宋_GB2312"/>
          <w:b/>
          <w:kern w:val="0"/>
          <w:sz w:val="32"/>
          <w:szCs w:val="32"/>
        </w:rPr>
      </w:pPr>
      <w:r>
        <w:rPr>
          <w:rFonts w:hint="eastAsia" w:ascii="仿宋_GB2312" w:eastAsia="仿宋_GB2312"/>
          <w:sz w:val="32"/>
          <w:szCs w:val="32"/>
        </w:rPr>
        <w:t>2017年期末，</w:t>
      </w:r>
      <w:r>
        <w:rPr>
          <w:rFonts w:hint="eastAsia" w:ascii="仿宋" w:hAnsi="仿宋" w:eastAsia="仿宋" w:cs="仿宋"/>
          <w:sz w:val="32"/>
          <w:szCs w:val="32"/>
        </w:rPr>
        <w:t>温县殡仪馆</w:t>
      </w:r>
      <w:r>
        <w:rPr>
          <w:rFonts w:hint="eastAsia" w:ascii="仿宋_GB2312" w:eastAsia="仿宋_GB2312"/>
          <w:sz w:val="32"/>
          <w:szCs w:val="32"/>
        </w:rPr>
        <w:t>固定资产总额</w:t>
      </w:r>
      <w:r>
        <w:rPr>
          <w:rFonts w:hint="eastAsia" w:ascii="仿宋_GB2312" w:eastAsia="仿宋_GB2312"/>
          <w:sz w:val="32"/>
          <w:szCs w:val="32"/>
          <w:lang w:val="en-US" w:eastAsia="zh-CN"/>
        </w:rPr>
        <w:t>205.49</w:t>
      </w:r>
      <w:r>
        <w:rPr>
          <w:rFonts w:hint="eastAsia" w:ascii="仿宋_GB2312" w:eastAsia="仿宋_GB2312"/>
          <w:sz w:val="32"/>
          <w:szCs w:val="32"/>
        </w:rPr>
        <w:t>万元，其中，房屋建筑物</w:t>
      </w:r>
      <w:r>
        <w:rPr>
          <w:rFonts w:hint="eastAsia" w:ascii="仿宋_GB2312" w:eastAsia="仿宋_GB2312"/>
          <w:sz w:val="32"/>
          <w:szCs w:val="32"/>
          <w:lang w:val="en-US" w:eastAsia="zh-CN"/>
        </w:rPr>
        <w:t>73.103</w:t>
      </w:r>
      <w:r>
        <w:rPr>
          <w:rFonts w:hint="eastAsia" w:ascii="仿宋_GB2312" w:eastAsia="仿宋_GB2312"/>
          <w:sz w:val="32"/>
          <w:szCs w:val="32"/>
        </w:rPr>
        <w:t>万元，车辆</w:t>
      </w:r>
      <w:r>
        <w:rPr>
          <w:rFonts w:hint="eastAsia" w:ascii="仿宋_GB2312" w:eastAsia="仿宋_GB2312"/>
          <w:sz w:val="32"/>
          <w:szCs w:val="32"/>
          <w:lang w:val="en-US" w:eastAsia="zh-CN"/>
        </w:rPr>
        <w:t>44.98</w:t>
      </w:r>
      <w:r>
        <w:rPr>
          <w:rFonts w:hint="eastAsia" w:ascii="仿宋_GB2312" w:eastAsia="仿宋_GB2312"/>
          <w:sz w:val="32"/>
          <w:szCs w:val="32"/>
        </w:rPr>
        <w:t>万元。共有车辆</w:t>
      </w:r>
      <w:r>
        <w:rPr>
          <w:rFonts w:hint="eastAsia" w:ascii="仿宋_GB2312" w:eastAsia="仿宋_GB2312"/>
          <w:sz w:val="32"/>
          <w:szCs w:val="32"/>
          <w:lang w:val="en-US" w:eastAsia="zh-CN"/>
        </w:rPr>
        <w:t>6</w:t>
      </w:r>
      <w:r>
        <w:rPr>
          <w:rFonts w:hint="eastAsia" w:ascii="仿宋_GB2312" w:eastAsia="仿宋_GB2312"/>
          <w:sz w:val="32"/>
          <w:szCs w:val="32"/>
        </w:rPr>
        <w:t>辆，其中：一般公务用车</w:t>
      </w:r>
      <w:r>
        <w:rPr>
          <w:rFonts w:hint="eastAsia" w:ascii="仿宋_GB2312" w:eastAsia="仿宋_GB2312"/>
          <w:sz w:val="32"/>
          <w:szCs w:val="32"/>
          <w:lang w:val="en-US" w:eastAsia="zh-CN"/>
        </w:rPr>
        <w:t>6</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r>
        <w:rPr>
          <w:rFonts w:hint="eastAsia" w:ascii="仿宋_GB2312" w:eastAsia="仿宋_GB2312"/>
          <w:sz w:val="32"/>
          <w:szCs w:val="32"/>
        </w:rPr>
        <w:t>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八、殡葬：是指为保障民政及其他部门举办的火葬场等殡仪事业单位的各项支出。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附件：温县殡仪馆2018年度部门预算表</w:t>
      </w:r>
    </w:p>
    <w:p>
      <w:pPr>
        <w:spacing w:line="600" w:lineRule="exact"/>
        <w:rPr>
          <w:rFonts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47248069">
    <w:nsid w:val="FD27DCC5"/>
    <w:multiLevelType w:val="singleLevel"/>
    <w:tmpl w:val="FD27DCC5"/>
    <w:lvl w:ilvl="0" w:tentative="1">
      <w:start w:val="2"/>
      <w:numFmt w:val="chineseCounting"/>
      <w:suff w:val="nothing"/>
      <w:lvlText w:val="（%1）"/>
      <w:lvlJc w:val="left"/>
      <w:pPr>
        <w:ind w:left="640" w:leftChars="0" w:firstLine="0" w:firstLineChars="0"/>
      </w:pPr>
      <w:rPr>
        <w:rFonts w:hint="eastAsia"/>
      </w:rPr>
    </w:lvl>
  </w:abstractNum>
  <w:abstractNum w:abstractNumId="975703222">
    <w:nsid w:val="3A280CB6"/>
    <w:multiLevelType w:val="singleLevel"/>
    <w:tmpl w:val="3A280CB6"/>
    <w:lvl w:ilvl="0" w:tentative="1">
      <w:start w:val="1"/>
      <w:numFmt w:val="decimal"/>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4247248069"/>
  </w:num>
  <w:num w:numId="2">
    <w:abstractNumId w:val="975703222"/>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3">
    <w:name w:val="Default Paragraph Font"/>
    <w:semiHidden/>
    <w:unhideWhenUsed/>
    <w:qFormat/>
    <w:uiPriority w:val="1"/>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293</Words>
  <Characters>1672</Characters>
  <Lines>13</Lines>
  <Paragraphs>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null,null,总收发</cp:lastModifiedBy>
  <cp:lastPrinted>2018-03-09T07:54:00Z</cp:lastPrinted>
  <dcterms:modified xsi:type="dcterms:W3CDTF">2019-03-17T08:27:39Z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