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djustRightInd w:val="0"/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2018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城区环境卫生管理处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预算公开</w:t>
      </w:r>
    </w:p>
    <w:p>
      <w:pPr>
        <w:kinsoku w:val="0"/>
        <w:overflowPunct w:val="0"/>
        <w:adjustRightInd w:val="0"/>
        <w:snapToGrid w:val="0"/>
        <w:spacing w:line="360" w:lineRule="auto"/>
        <w:ind w:left="101" w:right="3569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insoku w:val="0"/>
        <w:overflowPunct w:val="0"/>
        <w:adjustRightInd w:val="0"/>
        <w:snapToGrid w:val="0"/>
        <w:spacing w:line="360" w:lineRule="auto"/>
        <w:ind w:left="-142" w:right="51" w:firstLine="30" w:firstLineChars="7"/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44"/>
          <w:szCs w:val="44"/>
        </w:rPr>
        <w:t>目</w:t>
      </w:r>
      <w:r>
        <w:rPr>
          <w:rFonts w:hint="eastAsia" w:ascii="仿宋_GB2312" w:hAnsi="仿宋_GB2312" w:eastAsia="仿宋_GB2312" w:cs="仿宋_GB2312"/>
          <w:spacing w:val="2"/>
          <w:sz w:val="44"/>
          <w:szCs w:val="44"/>
        </w:rPr>
        <w:t xml:space="preserve"> </w:t>
      </w:r>
      <w:r>
        <w:rPr>
          <w:rFonts w:hint="eastAsia" w:ascii="仿宋_GB2312" w:hAnsi="仿宋_GB2312" w:eastAsia="仿宋_GB2312" w:cs="仿宋_GB2312"/>
          <w:sz w:val="44"/>
          <w:szCs w:val="44"/>
        </w:rPr>
        <w:t>录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640" w:firstLineChars="200"/>
        <w:rPr>
          <w:rFonts w:hint="eastAsia" w:ascii="仿宋_GB2312" w:hAnsi="仿宋_GB2312" w:eastAsia="仿宋_GB2312" w:cs="仿宋_GB2312"/>
          <w:w w:val="99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第一部分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概况</w:t>
      </w:r>
      <w:r>
        <w:rPr>
          <w:rFonts w:hint="eastAsia" w:ascii="仿宋_GB2312" w:hAnsi="仿宋_GB2312" w:eastAsia="仿宋_GB2312" w:cs="仿宋_GB2312"/>
          <w:w w:val="99"/>
          <w:sz w:val="32"/>
          <w:szCs w:val="32"/>
        </w:rPr>
        <w:t xml:space="preserve"> 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一、主要职能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二、部门预算单位构成</w:t>
      </w:r>
    </w:p>
    <w:p>
      <w:pPr>
        <w:kinsoku w:val="0"/>
        <w:overflowPunct w:val="0"/>
        <w:adjustRightInd w:val="0"/>
        <w:snapToGrid w:val="0"/>
        <w:spacing w:line="360" w:lineRule="auto"/>
        <w:ind w:right="521" w:firstLine="640" w:firstLineChars="200"/>
        <w:rPr>
          <w:rFonts w:hint="eastAsia" w:ascii="仿宋_GB2312" w:hAnsi="仿宋_GB2312" w:eastAsia="仿宋_GB2312" w:cs="仿宋_GB2312"/>
          <w:w w:val="99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第二部分</w:t>
      </w:r>
      <w:r>
        <w:rPr>
          <w:rFonts w:hint="eastAsia" w:ascii="仿宋_GB2312" w:hAnsi="仿宋_GB2312" w:eastAsia="仿宋_GB2312" w:cs="仿宋_GB2312"/>
          <w:spacing w:val="-38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11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19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年度部门预算情况说明</w:t>
      </w:r>
      <w:r>
        <w:rPr>
          <w:rFonts w:hint="eastAsia" w:ascii="仿宋_GB2312" w:hAnsi="仿宋_GB2312" w:eastAsia="仿宋_GB2312" w:cs="仿宋_GB2312"/>
          <w:w w:val="99"/>
          <w:sz w:val="32"/>
          <w:szCs w:val="32"/>
        </w:rPr>
        <w:t xml:space="preserve"> </w:t>
      </w:r>
    </w:p>
    <w:p>
      <w:pPr>
        <w:kinsoku w:val="0"/>
        <w:overflowPunct w:val="0"/>
        <w:adjustRightInd w:val="0"/>
        <w:snapToGrid w:val="0"/>
        <w:spacing w:line="360" w:lineRule="auto"/>
        <w:ind w:right="521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第三部分</w:t>
      </w:r>
      <w:r>
        <w:rPr>
          <w:rFonts w:hint="eastAsia" w:ascii="仿宋_GB2312" w:hAnsi="仿宋_GB2312" w:eastAsia="仿宋_GB2312" w:cs="仿宋_GB2312"/>
          <w:spacing w:val="-3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名词解释</w:t>
      </w:r>
    </w:p>
    <w:p>
      <w:pPr>
        <w:kinsoku w:val="0"/>
        <w:overflowPunct w:val="0"/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pacing w:val="-3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年度部门预算表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一、部门收支总体情况表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二、部门收入总体情况表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三、部门支出总体情况表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四、财政拨款收支总体情况表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五、一般公共预算支出情况表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六、一般公共预算基本支出情况表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七、“三公”经费支出情况表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八、政府性基金预算支出情况表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九、机关运行经费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十、国有资本经营预算收支情况表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十一、项目绩效目标申报表</w:t>
      </w:r>
      <w:bookmarkStart w:id="0" w:name="_GoBack"/>
      <w:bookmarkEnd w:id="0"/>
    </w:p>
    <w:p>
      <w:pPr>
        <w:kinsoku w:val="0"/>
        <w:overflowPunct w:val="0"/>
        <w:adjustRightInd w:val="0"/>
        <w:snapToGrid w:val="0"/>
        <w:spacing w:line="360" w:lineRule="auto"/>
        <w:ind w:left="101" w:right="521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/>
        <w:adjustRightInd w:val="0"/>
        <w:snapToGrid w:val="0"/>
        <w:spacing w:before="0" w:after="0" w:line="600" w:lineRule="exact"/>
        <w:ind w:left="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第一部分</w:t>
      </w:r>
    </w:p>
    <w:p>
      <w:pPr>
        <w:wordWrap/>
        <w:adjustRightInd w:val="0"/>
        <w:snapToGrid w:val="0"/>
        <w:spacing w:before="0" w:after="0"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环卫所单位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概况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主要职能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（一）机构设置情况</w:t>
      </w:r>
    </w:p>
    <w:p>
      <w:pPr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办公室、收费队，清扫队，清运队。</w:t>
      </w:r>
    </w:p>
    <w:p>
      <w:pPr>
        <w:numPr>
          <w:ilvl w:val="0"/>
          <w:numId w:val="1"/>
        </w:numPr>
        <w:ind w:left="64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部门职责</w:t>
      </w:r>
    </w:p>
    <w:p>
      <w:pPr>
        <w:numPr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负责全县环境卫生的管理工作；负责全县环卫设施的维护、维修及管理工作；负责制定环卫建设规划，并按照标准建设、改造环卫设施。</w:t>
      </w:r>
    </w:p>
    <w:p>
      <w:pPr>
        <w:widowControl w:val="0"/>
        <w:numPr>
          <w:numId w:val="0"/>
        </w:numPr>
        <w:wordWrap/>
        <w:adjustRightInd w:val="0"/>
        <w:snapToGrid w:val="0"/>
        <w:spacing w:before="0" w:after="0" w:line="600" w:lineRule="exact"/>
        <w:ind w:leftChars="0" w:firstLine="640" w:firstLineChars="200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二、部门预算单位构成</w:t>
      </w:r>
    </w:p>
    <w:p>
      <w:pPr>
        <w:numPr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我单位有二级机构0个，本预算仅为本级单位预算。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wordWrap/>
        <w:adjustRightInd w:val="0"/>
        <w:snapToGrid w:val="0"/>
        <w:spacing w:before="0" w:after="0"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38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第二部分</w:t>
      </w:r>
    </w:p>
    <w:p>
      <w:pPr>
        <w:wordWrap/>
        <w:adjustRightInd w:val="0"/>
        <w:snapToGrid w:val="0"/>
        <w:spacing w:before="0" w:after="0"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201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8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年度部门预算情况说明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一、收入支出预算总体情况说明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环卫所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年收入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总计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1944.71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万元，支出总计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1944.71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万元，与201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年相比，收、支总计各增加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126.99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6.99%</w:t>
      </w:r>
      <w:r>
        <w:rPr>
          <w:rFonts w:hint="eastAsia" w:ascii="仿宋_GB2312" w:hAnsi="仿宋_GB2312" w:eastAsia="仿宋_GB2312" w:cs="仿宋_GB2312"/>
          <w:sz w:val="32"/>
          <w:szCs w:val="32"/>
        </w:rPr>
        <w:t>。主要原因：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用于清扫工增长工资，清扫工保险和燃油费。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二、收入预算总体情况说明</w:t>
      </w:r>
    </w:p>
    <w:p>
      <w:pPr>
        <w:widowControl/>
        <w:shd w:val="clear" w:color="auto" w:fill="FFFFFF"/>
        <w:wordWrap/>
        <w:spacing w:before="0" w:after="0" w:line="600" w:lineRule="exact"/>
        <w:ind w:left="0" w:leftChars="0"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环卫所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年收入合计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1944.71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万元，其中：一般公共预算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合计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1944.71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，本级财力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1704.71万元，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非税收入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，上级转移支付收入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政府性基金收入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0万元。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三、支出预算总体情况说明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环卫所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年支出合计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1944.71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万元，其中：基本支出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301.52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15.5%</w:t>
      </w:r>
      <w:r>
        <w:rPr>
          <w:rFonts w:hint="eastAsia" w:ascii="仿宋_GB2312" w:hAnsi="仿宋_GB2312" w:eastAsia="仿宋_GB2312" w:cs="仿宋_GB2312"/>
          <w:sz w:val="32"/>
          <w:szCs w:val="32"/>
        </w:rPr>
        <w:t>；项目支出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1643.19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比为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84.5%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3"/>
        <w:spacing w:line="640" w:lineRule="atLeast"/>
        <w:ind w:firstLine="640"/>
        <w:rPr>
          <w:rFonts w:hint="default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四、财政拨款收入支出预算总体情况说明</w:t>
      </w:r>
    </w:p>
    <w:p>
      <w:pPr>
        <w:pStyle w:val="3"/>
        <w:spacing w:line="640" w:lineRule="atLeast"/>
        <w:ind w:firstLine="640"/>
        <w:rPr>
          <w:rFonts w:hint="default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环卫所2018年一般公共预算收支预算1944.71万元。政府性基金收支预算0万元，与 2017年相比，一般公共预算收支预算增加1</w:t>
      </w:r>
      <w:r>
        <w:rPr>
          <w:rFonts w:hint="eastAsia" w:ascii="仿宋_GB2312" w:eastAsia="仿宋_GB2312"/>
          <w:sz w:val="32"/>
          <w:lang w:val="en-US" w:eastAsia="zh-CN"/>
        </w:rPr>
        <w:t>26.99</w:t>
      </w:r>
      <w:r>
        <w:rPr>
          <w:rFonts w:hint="eastAsia" w:ascii="仿宋_GB2312" w:eastAsia="仿宋_GB2312"/>
          <w:sz w:val="32"/>
        </w:rPr>
        <w:t>万元，增长</w:t>
      </w:r>
      <w:r>
        <w:rPr>
          <w:rFonts w:hint="eastAsia" w:ascii="仿宋_GB2312" w:eastAsia="仿宋_GB2312"/>
          <w:sz w:val="32"/>
          <w:lang w:val="en-US" w:eastAsia="zh-CN"/>
        </w:rPr>
        <w:t>6.99</w:t>
      </w:r>
      <w:r>
        <w:rPr>
          <w:rFonts w:hint="eastAsia" w:ascii="仿宋_GB2312" w:eastAsia="仿宋_GB2312"/>
          <w:sz w:val="32"/>
        </w:rPr>
        <w:t>%，主要原因由于城区住户增多垃圾产生量增多，环卫设施老化，加强大气污染治理。政府性基金收支与2017年一致。</w:t>
      </w:r>
    </w:p>
    <w:p>
      <w:pPr>
        <w:pStyle w:val="3"/>
        <w:spacing w:line="640" w:lineRule="atLeast"/>
        <w:ind w:firstLine="640"/>
        <w:rPr>
          <w:rFonts w:hint="default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五、一般公共预算支出预算情况说明</w:t>
      </w:r>
    </w:p>
    <w:p>
      <w:pPr>
        <w:pStyle w:val="3"/>
        <w:spacing w:line="640" w:lineRule="atLeast"/>
        <w:ind w:firstLine="640"/>
        <w:rPr>
          <w:rFonts w:hint="default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环卫所2018年一般公共预算支出年初预算为1944.71万元。主要用于以下方面：社会保障和就业支出45.73万元，占2.3%；医疗卫生与计划生育支出16.29万元，占0.9%；城乡社区支出1882.69万元，占96.8%。</w:t>
      </w:r>
    </w:p>
    <w:p>
      <w:pPr>
        <w:pStyle w:val="3"/>
        <w:spacing w:line="640" w:lineRule="atLeast"/>
        <w:ind w:firstLine="640"/>
        <w:rPr>
          <w:rFonts w:hint="default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六、一般公共预算基本支出预算情况说明</w:t>
      </w:r>
    </w:p>
    <w:p>
      <w:pPr>
        <w:pStyle w:val="3"/>
        <w:spacing w:line="640" w:lineRule="atLeast"/>
        <w:ind w:firstLine="640"/>
        <w:rPr>
          <w:rFonts w:hint="default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环卫所2018年一般公共预算基本支出301.52万元，其中：人员经费292.25万元，基本工资、津贴补贴、绩效工资、机关事业单位基本养老保险缴费、医疗保险缴费、其他社会保障缴费；公用经费9.27万元，主要包括：办公费、印刷费、水费、电费、邮电费、取暖费、公务用车运行维护费。</w:t>
      </w:r>
    </w:p>
    <w:p>
      <w:pPr>
        <w:numPr>
          <w:numId w:val="0"/>
        </w:numPr>
        <w:wordWrap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kern w:val="0"/>
          <w:sz w:val="32"/>
          <w:szCs w:val="32"/>
        </w:rPr>
        <w:t>、“三公”经费支出预算情况说明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环卫所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年“三公”经费预算为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2.79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年“三公”经费支出预算数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年预算数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0.18万元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numPr>
          <w:numId w:val="0"/>
        </w:num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具体支出情况如下：</w:t>
      </w:r>
    </w:p>
    <w:p>
      <w:pPr>
        <w:numPr>
          <w:ilvl w:val="0"/>
          <w:numId w:val="2"/>
        </w:num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39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</w:rPr>
        <w:t>因公出国（境）费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0万元。预算数与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年预算数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保持一致，增长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0%。</w:t>
      </w:r>
    </w:p>
    <w:p>
      <w:pPr>
        <w:numPr>
          <w:ilvl w:val="0"/>
          <w:numId w:val="2"/>
        </w:num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39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</w:rPr>
        <w:t>公务用车购置及运行费</w:t>
      </w: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  <w:lang w:val="en-US" w:eastAsia="zh-CN"/>
        </w:rPr>
        <w:t>2.79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。其中公务车辆购置费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0万元，预算数与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年预算数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保持一致，增长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0%。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公车运行维护费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2.79万元，预算数比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年预算数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0.18万元，减少6%；主要原因：厉行节约，优化配置。</w:t>
      </w:r>
    </w:p>
    <w:p>
      <w:pPr>
        <w:wordWrap/>
        <w:spacing w:before="0" w:after="0" w:line="600" w:lineRule="exact"/>
        <w:ind w:left="0" w:leftChars="0" w:firstLine="639" w:firstLineChars="2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</w:rPr>
        <w:t>（三）公务接待费</w:t>
      </w: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万元，主要用于按规定开支的各类公务接待支出。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预算数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年预算数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保持一致，增长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0%。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八、</w:t>
      </w:r>
      <w:r>
        <w:rPr>
          <w:rFonts w:hint="eastAsia" w:ascii="黑体" w:hAnsi="黑体" w:eastAsia="黑体" w:cs="黑体"/>
          <w:kern w:val="0"/>
          <w:sz w:val="32"/>
          <w:szCs w:val="32"/>
        </w:rPr>
        <w:t>政府性基金预算支出</w:t>
      </w:r>
      <w:r>
        <w:rPr>
          <w:rFonts w:hint="eastAsia" w:ascii="黑体" w:hAnsi="黑体" w:eastAsia="黑体"/>
          <w:kern w:val="0"/>
          <w:sz w:val="32"/>
          <w:szCs w:val="32"/>
        </w:rPr>
        <w:t>预</w:t>
      </w:r>
      <w:r>
        <w:rPr>
          <w:rFonts w:hint="eastAsia" w:ascii="黑体" w:hAnsi="黑体" w:eastAsia="黑体" w:cs="黑体"/>
          <w:kern w:val="0"/>
          <w:sz w:val="32"/>
          <w:szCs w:val="32"/>
        </w:rPr>
        <w:t>算情况说明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我单位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年没有使用政府性基金预算拨款安排的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收支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九、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国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有资本经营</w:t>
      </w:r>
      <w:r>
        <w:rPr>
          <w:rFonts w:hint="eastAsia" w:ascii="黑体" w:hAnsi="黑体" w:eastAsia="黑体" w:cs="黑体"/>
          <w:kern w:val="0"/>
          <w:sz w:val="32"/>
          <w:szCs w:val="32"/>
        </w:rPr>
        <w:t>预算支出</w:t>
      </w:r>
      <w:r>
        <w:rPr>
          <w:rFonts w:hint="eastAsia" w:ascii="黑体" w:hAnsi="黑体" w:eastAsia="黑体"/>
          <w:kern w:val="0"/>
          <w:sz w:val="32"/>
          <w:szCs w:val="32"/>
        </w:rPr>
        <w:t>预</w:t>
      </w:r>
      <w:r>
        <w:rPr>
          <w:rFonts w:hint="eastAsia" w:ascii="黑体" w:hAnsi="黑体" w:eastAsia="黑体" w:cs="黑体"/>
          <w:kern w:val="0"/>
          <w:sz w:val="32"/>
          <w:szCs w:val="32"/>
        </w:rPr>
        <w:t>算情况说明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我单位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年没有使用政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国有资本经营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预算拨款安排的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收支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36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-1"/>
          <w:kern w:val="0"/>
          <w:sz w:val="32"/>
          <w:szCs w:val="32"/>
          <w:lang w:eastAsia="zh-CN"/>
        </w:rPr>
        <w:t>十</w:t>
      </w:r>
      <w:r>
        <w:rPr>
          <w:rFonts w:hint="eastAsia" w:ascii="黑体" w:hAnsi="黑体" w:eastAsia="黑体" w:cs="黑体"/>
          <w:spacing w:val="-1"/>
          <w:kern w:val="0"/>
          <w:sz w:val="32"/>
          <w:szCs w:val="32"/>
        </w:rPr>
        <w:t>、其他重要事项的情况说明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textAlignment w:val="auto"/>
        <w:outlineLvl w:val="0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  <w:t>（一）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eastAsia="zh-CN"/>
        </w:rPr>
        <w:t>机关运行经费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  <w:t>情况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机关运行经费</w:t>
      </w:r>
      <w:r>
        <w:rPr>
          <w:rFonts w:hint="eastAsia" w:ascii="仿宋_GB2312" w:hAnsi="仿宋_GB2312" w:eastAsia="仿宋_GB2312" w:cs="仿宋_GB2312"/>
          <w:sz w:val="32"/>
          <w:szCs w:val="32"/>
        </w:rPr>
        <w:t>预算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9.27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万元，主要保障机关机构正常运转及正常履职需要的办公费、水电费、物业费、维修费、差旅费等支出。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textAlignment w:val="auto"/>
        <w:outlineLvl w:val="0"/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  <w:t>（二）政府采购支出情况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年政府采购预算安排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购置清扫工具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14.07万元，办公设备购置1.93万元。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textAlignment w:val="auto"/>
        <w:outlineLvl w:val="0"/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  <w:t>（三）关于预算绩效管理工作开展情况说明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2017年，我单位未开展绩效评价。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年，我单位部门预算纳入绩效管理的支出总额为1944.71万元，其中人员经费支出292.25万元，公用经费支出9.27万元，支出项目共9个，支出总额1643.19万元，其中预算支出30万元及以上应申报绩效的项目0个，支出总额0万元。</w:t>
      </w:r>
    </w:p>
    <w:p>
      <w:pPr>
        <w:pStyle w:val="3"/>
        <w:spacing w:line="640" w:lineRule="atLeast"/>
        <w:ind w:left="420"/>
        <w:rPr>
          <w:rFonts w:hint="eastAsia"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（四）国有资产占用情况</w:t>
      </w:r>
    </w:p>
    <w:p>
      <w:pPr>
        <w:pStyle w:val="3"/>
        <w:spacing w:line="640" w:lineRule="atLeast"/>
        <w:rPr>
          <w:rFonts w:hint="default"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</w:rPr>
        <w:t>2017年期末，环卫所固定资产总额868.12万元，其中，房屋建筑物60万元，车辆618.81万元。共有车辆27辆，其中：一般公务用车1辆，执法执勤车0辆，其他用车26辆，用于清运垃圾车辆、清扫车辆；单价50万元以上通用设备0台（套），单位价值100万元以上专用设备0台（套）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ordWrap/>
        <w:adjustRightInd w:val="0"/>
        <w:snapToGrid w:val="0"/>
        <w:spacing w:before="0" w:after="0"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第三部分 名词解释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一、财政拨款收入：是指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财政当年拨付的资金。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二、事业收入：是指事业单位开展专业活动及辅助活动所取 得的收入。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三、其他收入：是指部门取得的除“财政拨款”、“事业收入”、“事业单位经营收入”等以外的收入。 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、基本支出：是指为保障机构正常运转、完成日常工作任务所必需的开支，其内容包括人员经费和日常公用经费两部分。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、项目支出：是指在基本支出之外，为完成特定的行政工作任务或事业发展目标所发生的支出。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、“三公”经费：是指纳入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县级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预算管理，部门使用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  <w:lang w:eastAsia="zh-CN"/>
        </w:rPr>
        <w:t>七</w:t>
      </w:r>
      <w:r>
        <w:rPr>
          <w:rFonts w:hint="eastAsia" w:ascii="仿宋_GB2312" w:hAnsi="宋体" w:eastAsia="仿宋_GB2312" w:cs="Courier New"/>
          <w:sz w:val="32"/>
          <w:szCs w:val="32"/>
        </w:rPr>
        <w:t>、</w:t>
      </w:r>
      <w:r>
        <w:rPr>
          <w:rFonts w:hint="eastAsia" w:ascii="仿宋_GB2312" w:hAnsi="宋体" w:eastAsia="仿宋_GB2312" w:cs="Courier New"/>
          <w:sz w:val="32"/>
          <w:szCs w:val="32"/>
          <w:lang w:eastAsia="zh-CN"/>
        </w:rPr>
        <w:t>机关运行经费</w:t>
      </w:r>
      <w:r>
        <w:rPr>
          <w:rFonts w:hint="eastAsia" w:ascii="仿宋_GB2312" w:hAnsi="宋体" w:eastAsia="仿宋_GB2312" w:cs="Courier New"/>
          <w:sz w:val="32"/>
          <w:szCs w:val="32"/>
        </w:rPr>
        <w:t>：是指为保障行政</w:t>
      </w:r>
      <w:r>
        <w:rPr>
          <w:rFonts w:hint="eastAsia" w:ascii="仿宋_GB2312" w:hAnsi="仿宋_GB2312" w:eastAsia="仿宋_GB2312" w:cs="仿宋_GB2312"/>
          <w:sz w:val="32"/>
          <w:szCs w:val="32"/>
        </w:rPr>
        <w:t>机构正常运转及正常履职需要的办公费、水电费、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日常维修、</w:t>
      </w:r>
      <w:r>
        <w:rPr>
          <w:rFonts w:hint="eastAsia" w:ascii="仿宋_GB2312" w:hAnsi="仿宋_GB2312" w:eastAsia="仿宋_GB2312" w:cs="仿宋_GB2312"/>
          <w:sz w:val="32"/>
          <w:szCs w:val="32"/>
        </w:rPr>
        <w:t>物业费、维修费、差旅费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Courier New"/>
          <w:sz w:val="32"/>
          <w:szCs w:val="32"/>
        </w:rPr>
        <w:t>公务用车运行维护费以及其他费用</w:t>
      </w:r>
      <w:r>
        <w:rPr>
          <w:rFonts w:hint="eastAsia" w:ascii="仿宋_GB2312" w:hAnsi="仿宋_GB2312" w:eastAsia="仿宋_GB2312" w:cs="仿宋_GB2312"/>
          <w:sz w:val="32"/>
          <w:szCs w:val="32"/>
        </w:rPr>
        <w:t>等支出。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八、城乡社区环境卫生支出：是指城乡社区道路清扫、垃圾清运与处理、公厕建设与维护等方面的支出。  </w:t>
      </w:r>
    </w:p>
    <w:p>
      <w:pPr>
        <w:wordWrap/>
        <w:adjustRightInd w:val="0"/>
        <w:snapToGrid w:val="0"/>
        <w:spacing w:before="0" w:after="0" w:line="60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温县城区环境卫生管理处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年度部门预算表</w:t>
      </w:r>
    </w:p>
    <w:p>
      <w:pPr>
        <w:wordWrap/>
        <w:spacing w:before="0" w:after="0" w:line="600" w:lineRule="exact"/>
        <w:ind w:left="0" w:leftChars="0"/>
        <w:textAlignment w:val="auto"/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20912226">
    <w:nsid w:val="5AA74762"/>
    <w:multiLevelType w:val="singleLevel"/>
    <w:tmpl w:val="5AA74762"/>
    <w:lvl w:ilvl="0" w:tentative="1">
      <w:start w:val="2"/>
      <w:numFmt w:val="chineseCounting"/>
      <w:suff w:val="nothing"/>
      <w:lvlText w:val="（%1）"/>
      <w:lvlJc w:val="left"/>
    </w:lvl>
  </w:abstractNum>
  <w:abstractNum w:abstractNumId="1515138474">
    <w:nsid w:val="5A4F2DAA"/>
    <w:multiLevelType w:val="singleLevel"/>
    <w:tmpl w:val="5A4F2DAA"/>
    <w:lvl w:ilvl="0" w:tentative="1">
      <w:start w:val="1"/>
      <w:numFmt w:val="chineseCounting"/>
      <w:suff w:val="nothing"/>
      <w:lvlText w:val="（%1）"/>
      <w:lvlJc w:val="left"/>
    </w:lvl>
  </w:abstractNum>
  <w:num w:numId="1">
    <w:abstractNumId w:val="1520912226"/>
  </w:num>
  <w:num w:numId="2">
    <w:abstractNumId w:val="151513847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paragraph" w:customStyle="1" w:styleId="3">
    <w:name w:val="p0"/>
    <w:basedOn w:val="1"/>
    <w:unhideWhenUsed/>
    <w:qFormat/>
    <w:uiPriority w:val="99"/>
    <w:pPr>
      <w:widowControl/>
    </w:pPr>
    <w:rPr>
      <w:rFonts w:hint="eastAsia"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2018-01-04T09:29:00Z</dcterms:created>
  <dc:creator>Administrator</dc:creator>
  <cp:lastModifiedBy>Administrator</cp:lastModifiedBy>
  <cp:lastPrinted>2018-03-09T07:54:00Z</cp:lastPrinted>
  <dcterms:modified xsi:type="dcterms:W3CDTF">2018-11-08T07:52:22Z</dcterms:modified>
  <dc:title>XX年度XX单位预算公开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