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2018年度温县产业集聚区管理委员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  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3569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3569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部门预算单位构成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2018年度部门预算表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温县产业集聚区管理委员会概况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3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、机构设置情况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温县产业集聚区管理委员会综合办公室、 规划建设局、信息经济局、招商服务局、科技和人力资源局。</w:t>
      </w:r>
    </w:p>
    <w:p>
      <w:pPr>
        <w:numPr>
          <w:numId w:val="0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（二）、部门职责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贯彻执行国家、省、市有关法律、法规和方针、政策，研究拟订产业集聚区规划并组织实施，推进集聚区管理科学化、规范化、法制化建设；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建设管理基础设施和公共服务设施，统筹协调区域内建设相关工作，研究解决区域内建设过程中的重大问题；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负责招商引资、项目引进、协调服务等工作，承接产业转移和经济协作；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负责搭建融资、土地收储、人才等要素平台；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按规定权限，审核、审批区域内的投资项目和其他事项；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优化企业生产经营环境，维护企业合法权益；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32"/>
        </w:rPr>
        <w:t>培育和发展行业协会等中介组织；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32"/>
        </w:rPr>
        <w:t>加强与办事处、乡镇的沟通协调，推进区域内的社会事务管理工作；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32"/>
        </w:rPr>
        <w:t>负责产业集聚区管理委员会干部的考核、晋升、调整和惩戒工作；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10、</w:t>
      </w:r>
      <w:r>
        <w:rPr>
          <w:rFonts w:hint="eastAsia" w:ascii="仿宋_GB2312" w:eastAsia="仿宋_GB2312"/>
          <w:sz w:val="32"/>
          <w:szCs w:val="32"/>
        </w:rPr>
        <w:t>承办县委、县政府交办的其他工作。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0" w:after="0" w:line="600" w:lineRule="exact"/>
        <w:ind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我单位有二级机构0个，本预算仅为本级单位预算。</w:t>
      </w:r>
    </w:p>
    <w:p>
      <w:pPr>
        <w:widowControl/>
        <w:shd w:val="clear" w:color="auto" w:fill="FFFFFF"/>
        <w:wordWrap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2018年度部门预算情况说明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温县产业集聚区管理委员会2018年收入总计 2819.39万元，支出总计2819.39万元，与2017年相比，收、支总计各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2392.06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559.77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%。主要原因：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区内租金增加。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温县产业集聚区管理委员会2018年收入合计 2819.39万元，其中：一般公共预算合计430.39万元，本级财力430.39万元,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万元；政府性基金收入2389.00万元。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温县产业集聚区管理委员会2018年支出合计2819.39万元，其中：基本支出170.39万元，占比为6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.04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%；项目支出2649万元，占比为 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温县产业集聚区管理委员会部门2018年一般公共预算收支预算430.39万元。政府性基金收支预算2389.00万元，与 2017年相比，一般公共预算收支预算增加3.06万元，增加0.7%，主要原因：人员经费增长；政府性基金收支增加2389万元，</w:t>
      </w:r>
      <w:r>
        <w:rPr>
          <w:rFonts w:hint="eastAsia" w:ascii="仿宋_GB2312" w:eastAsia="仿宋_GB2312"/>
          <w:sz w:val="32"/>
          <w:lang w:eastAsia="zh-CN"/>
        </w:rPr>
        <w:t>无</w:t>
      </w:r>
      <w:r>
        <w:rPr>
          <w:rFonts w:hint="eastAsia" w:ascii="仿宋_GB2312" w:eastAsia="仿宋_GB2312"/>
          <w:sz w:val="32"/>
        </w:rPr>
        <w:t>增长</w:t>
      </w:r>
      <w:r>
        <w:rPr>
          <w:rFonts w:hint="eastAsia" w:ascii="仿宋_GB2312" w:eastAsia="仿宋_GB2312"/>
          <w:sz w:val="32"/>
          <w:lang w:eastAsia="zh-CN"/>
        </w:rPr>
        <w:t>比</w:t>
      </w:r>
      <w:r>
        <w:rPr>
          <w:rFonts w:hint="eastAsia" w:ascii="仿宋_GB2312" w:eastAsia="仿宋_GB2312"/>
          <w:sz w:val="32"/>
        </w:rPr>
        <w:t>，主要原因：2018年度将集聚区区内租金列入预算。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温县产业集聚区管理委员会部门2018年一般公共预算支出年初预算为430.39万元。主要用于以下方面：社会保障和就业支出25.2万元，占6%；医疗卫生与计划生育支出8.94万元，占2%；城乡社区支出396.25万元，占92%。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产业集聚区管理委员会部门2018年一般公共预算基本支出170.39万元，其中：人员经费165.85万元，基本工资、津贴补贴、绩效工资、机关事业单位基本养老保险缴费、医疗保险缴费、其他社会保障缴费、其他工资福利支出；公用经费4.54万元，主要包括：办公费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温县产业集聚区管理委员会2018 年“三公”经费预算为24万元。2018年“三公”经费支出预算数比 2017年预算数增加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元。其中公务车辆购置费0万元，预算数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。公车运行维护费14万元，主要用于基础设施维护和服务项目推进车辆的燃油费和维修费。预算数比2017年增加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846%；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包含工作开展经费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39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10万元，主要用于产业集聚区规划、评审；招商引资项目服务及培训等会议、接待支出。预算数比2017年增加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无增长比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包含工作开展经费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我单位2018年政府性基金预算拨款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2389万元，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用于用地补偿金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2018年机关运行经费预算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2018年政府采购预算安排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（三）关于预算绩效管理工作开展情况说明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万元，其中预算支出30万元及以上应申报绩效的项目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5"/>
        <w:spacing w:line="600" w:lineRule="atLeast"/>
        <w:ind w:left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黑体" w:hAnsi="黑体" w:eastAsia="黑体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>四）国有资产占用情况</w:t>
      </w:r>
    </w:p>
    <w:p>
      <w:pPr>
        <w:pStyle w:val="5"/>
        <w:spacing w:line="600" w:lineRule="atLeas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2017年期末，温县产业集聚区管理委员会部门固定资产总额444.4252万元，其中，房屋建筑物99.51万元，车辆46万元。共有车辆5辆，其中：一般公务用车1辆，执法执勤车4辆，用于区内企业安全生产、环保检查及巡逻；单价50万元以上通用设备0台（套），单位价值100万元以上专用设备0台（套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八、征地和拆迁补偿支出：是指地方人民政府在征地和收购土地过程中支付的土地补偿费、安置补助费、地上附着和青苗补偿费、拆迁补偿费支出。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附件：温县产业集聚区管理委员会2018年度部门预算表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27547582">
    <w:nsid w:val="66F848BE"/>
    <w:multiLevelType w:val="singleLevel"/>
    <w:tmpl w:val="66F848BE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484586000">
    <w:nsid w:val="1CE23210"/>
    <w:multiLevelType w:val="multilevel"/>
    <w:tmpl w:val="1CE23210"/>
    <w:lvl w:ilvl="0" w:tentative="1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800" w:hanging="420"/>
      </w:pPr>
    </w:lvl>
    <w:lvl w:ilvl="2" w:tentative="1">
      <w:start w:val="1"/>
      <w:numFmt w:val="lowerRoman"/>
      <w:lvlText w:val="%3."/>
      <w:lvlJc w:val="right"/>
      <w:pPr>
        <w:ind w:left="2220" w:hanging="420"/>
      </w:pPr>
    </w:lvl>
    <w:lvl w:ilvl="3" w:tentative="1">
      <w:start w:val="1"/>
      <w:numFmt w:val="decimal"/>
      <w:lvlText w:val="%4."/>
      <w:lvlJc w:val="left"/>
      <w:pPr>
        <w:ind w:left="2640" w:hanging="420"/>
      </w:pPr>
    </w:lvl>
    <w:lvl w:ilvl="4" w:tentative="1">
      <w:start w:val="1"/>
      <w:numFmt w:val="lowerLetter"/>
      <w:lvlText w:val="%5)"/>
      <w:lvlJc w:val="left"/>
      <w:pPr>
        <w:ind w:left="3060" w:hanging="420"/>
      </w:pPr>
    </w:lvl>
    <w:lvl w:ilvl="5" w:tentative="1">
      <w:start w:val="1"/>
      <w:numFmt w:val="lowerRoman"/>
      <w:lvlText w:val="%6."/>
      <w:lvlJc w:val="right"/>
      <w:pPr>
        <w:ind w:left="3480" w:hanging="420"/>
      </w:pPr>
    </w:lvl>
    <w:lvl w:ilvl="6" w:tentative="1">
      <w:start w:val="1"/>
      <w:numFmt w:val="decimal"/>
      <w:lvlText w:val="%7."/>
      <w:lvlJc w:val="left"/>
      <w:pPr>
        <w:ind w:left="3900" w:hanging="420"/>
      </w:pPr>
    </w:lvl>
    <w:lvl w:ilvl="7" w:tentative="1">
      <w:start w:val="1"/>
      <w:numFmt w:val="lowerLetter"/>
      <w:lvlText w:val="%8)"/>
      <w:lvlJc w:val="left"/>
      <w:pPr>
        <w:ind w:left="4320" w:hanging="420"/>
      </w:pPr>
    </w:lvl>
    <w:lvl w:ilvl="8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484586000"/>
  </w:num>
  <w:num w:numId="2">
    <w:abstractNumId w:val="1517907436"/>
  </w:num>
  <w:num w:numId="3">
    <w:abstractNumId w:val="1727547582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6">
    <w:name w:val="页眉 Char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480</Words>
  <Characters>2738</Characters>
  <Lines>22</Lines>
  <Paragraphs>6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2018-11-08T07:54:29Z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