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老干部局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老干部局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一、主要职能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(一）机构设置情况：下设关心下一代工作委员会、老干部活动中心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、办公室、离退休干部党工委。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（二）部门职责：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1、贯彻落实中央、省、市有关老干部工作的方针政策，落实好老干部政治、生活待遇，进一步完善离休费、医药费、财政支持三个保障机制。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2、制订和参与制订我市老干部工作有关政策、规定。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3、对全市老干部工作中出现的新情况、新问题进行调查研究，并提出相应的对策和措施，为市委、市政府决策提供依据。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4、做好离休干部来信来访接待工作，定期组织老干部参观经济建设和社会事业建设。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5、做好易地安置离休干部工作，落实相关待遇。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6、负责重大节日走访慰问老干部工作。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7、协调指导有关部门做好病故离休干部的治丧工作。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8、做好离休干部信息统计和维护工作，会同有关部门做好离休干部护理费核实审批工作。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9、抓好全县离退休老干部党员管理和党支部建设；宣传老干部的先进事迹，表彰老干部先进典型。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10、加强老干部活动室管理和服务工作，组织指导各老干部协会组织开展各项活动。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</w:rPr>
        <w:t>11、组织实施对老干部工作人员的培训，逐步实现老干部工作规范化、制度化。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二、部门预算单位构成：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我单位有二级机构2个，本预算为汇总预算，纳入我单位2018年部门预算编报范围的二级机构有：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关心下一代工作委员会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640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老干部活动中心。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老干部局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6.4736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6.88%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增加了交通补贴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老干部局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100.6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90.6万元，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老干部局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82.56%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17.44%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老干部局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100.6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6.4736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6.88</w:t>
      </w:r>
      <w:r>
        <w:rPr>
          <w:rFonts w:hint="eastAsia" w:ascii="仿宋_GB2312" w:eastAsia="仿宋_GB2312"/>
          <w:sz w:val="32"/>
          <w:szCs w:val="32"/>
        </w:rPr>
        <w:t>%，主要原因；</w:t>
      </w:r>
      <w:r>
        <w:rPr>
          <w:rFonts w:hint="eastAsia" w:ascii="仿宋_GB2312" w:eastAsia="仿宋_GB2312"/>
          <w:sz w:val="32"/>
          <w:szCs w:val="32"/>
          <w:lang w:eastAsia="zh-CN"/>
        </w:rPr>
        <w:t>工资增长。</w:t>
      </w:r>
      <w:r>
        <w:rPr>
          <w:rFonts w:hint="eastAsia" w:ascii="仿宋_GB2312" w:eastAsia="仿宋_GB2312"/>
          <w:sz w:val="32"/>
          <w:szCs w:val="32"/>
        </w:rPr>
        <w:t>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预算与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老干部局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100.6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85.18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84.67%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11.39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11.32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4.03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4.01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老干部局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83.06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73.68</w:t>
      </w:r>
      <w:r>
        <w:rPr>
          <w:rFonts w:hint="eastAsia" w:ascii="仿宋_GB2312" w:eastAsia="仿宋_GB2312"/>
          <w:sz w:val="32"/>
          <w:szCs w:val="32"/>
        </w:rPr>
        <w:t>万元，基本工资、津贴补贴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绩效工资、机关事业单位基本养老保险缴费、医疗保险缴费、其他社会保障缴费、其他工资福利支出；公用经费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9.38</w:t>
      </w:r>
      <w:r>
        <w:rPr>
          <w:rFonts w:hint="eastAsia" w:ascii="仿宋_GB2312" w:eastAsia="仿宋_GB2312"/>
          <w:sz w:val="32"/>
          <w:szCs w:val="32"/>
        </w:rPr>
        <w:t>万元，主要包括：办公费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公务接待费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公务用车运行维护费、其他交通费用。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老干部局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0万元。与2017年预算数持平，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0万元，与2017年预算数持平，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4万元（含关工委1.5万元），主要用于车辆的耗油费、路桥费、保险费、维修费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比2017年减少1.5万元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27.27%，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节能降耗、加强车辆管理，减少费用支出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16.67%，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减少不必要的接待支出、严格管理招待费支出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年没有使用国有资本经营预算拨款安排的收支。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老干部局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机关机构正常运转及正常履职需要的办公费、水电费、物业费、维修费、差旅费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、通讯费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：综合楼的房顶漏雨修缮加瓦需要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5万元、大活动室购买空调2台需1.5万元、建三个车棚需0.6万元、线路老化改造需0.4万元。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,我单位未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2018年，我单位部门预算纳入绩效管理的支出总额为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100.6</w:t>
      </w:r>
      <w:r>
        <w:rPr>
          <w:rFonts w:hint="eastAsia" w:ascii="仿宋" w:hAnsi="仿宋" w:eastAsia="仿宋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其中人员经费73.68万元，公用经费9.38万元，支出项目共4个，</w:t>
      </w:r>
      <w:r>
        <w:rPr>
          <w:rFonts w:hint="eastAsia" w:ascii="仿宋" w:hAnsi="仿宋" w:eastAsia="仿宋" w:cs="仿宋_GB2312"/>
          <w:sz w:val="32"/>
          <w:szCs w:val="32"/>
        </w:rPr>
        <w:t>支出总额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17.54</w:t>
      </w:r>
      <w:r>
        <w:rPr>
          <w:rFonts w:hint="eastAsia" w:ascii="仿宋" w:hAnsi="仿宋" w:eastAsia="仿宋" w:cs="仿宋_GB2312"/>
          <w:sz w:val="32"/>
          <w:szCs w:val="32"/>
        </w:rPr>
        <w:t>万元，其中预算支出30万元及以上应申报绩效的项目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个，支出总额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老干部局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64.05万</w:t>
      </w:r>
      <w:r>
        <w:rPr>
          <w:rFonts w:hint="eastAsia" w:ascii="仿宋_GB2312" w:eastAsia="仿宋_GB2312"/>
          <w:sz w:val="32"/>
          <w:szCs w:val="32"/>
        </w:rPr>
        <w:t>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25.26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19.45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八、关工委经费：是指为保障关心下一代工作委员会的正常运转所需要的办公费、水电费、日常维修费以及其他费用等的支出。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老干部局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625477799">
    <w:nsid w:val="60E2D2A7"/>
    <w:multiLevelType w:val="multilevel"/>
    <w:tmpl w:val="60E2D2A7"/>
    <w:lvl w:ilvl="0" w:tentative="1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1625477799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null,null,总收发</cp:lastModifiedBy>
  <cp:lastPrinted>2018-03-09T07:54:00Z</cp:lastPrinted>
  <dcterms:modified xsi:type="dcterms:W3CDTF">2019-03-17T07:47:29Z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