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ind w:left="420" w:leftChars="200" w:firstLine="880" w:firstLineChars="200"/>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2018年度温县民政局预算公开</w:t>
      </w:r>
    </w:p>
    <w:p>
      <w:pPr>
        <w:kinsoku w:val="0"/>
        <w:overflowPunct w:val="0"/>
        <w:adjustRightInd w:val="0"/>
        <w:snapToGrid w:val="0"/>
        <w:spacing w:line="360" w:lineRule="auto"/>
        <w:ind w:right="51"/>
        <w:jc w:val="center"/>
        <w:rPr>
          <w:rFonts w:ascii="仿宋" w:hAnsi="仿宋" w:eastAsia="仿宋" w:cs="仿宋_GB2312"/>
          <w:sz w:val="44"/>
          <w:szCs w:val="44"/>
        </w:rPr>
      </w:pPr>
      <w:r>
        <w:rPr>
          <w:rFonts w:hint="eastAsia" w:ascii="仿宋" w:hAnsi="仿宋" w:eastAsia="仿宋" w:cs="仿宋_GB2312"/>
          <w:sz w:val="44"/>
          <w:szCs w:val="44"/>
        </w:rPr>
        <w:t>目</w:t>
      </w:r>
      <w:r>
        <w:rPr>
          <w:rFonts w:hint="eastAsia" w:ascii="仿宋" w:hAnsi="仿宋" w:eastAsia="仿宋" w:cs="仿宋_GB2312"/>
          <w:spacing w:val="2"/>
          <w:sz w:val="44"/>
          <w:szCs w:val="44"/>
        </w:rPr>
        <w:t xml:space="preserve"> </w:t>
      </w:r>
      <w:r>
        <w:rPr>
          <w:rFonts w:hint="eastAsia" w:ascii="仿宋" w:hAnsi="仿宋" w:eastAsia="仿宋" w:cs="仿宋_GB2312"/>
          <w:sz w:val="44"/>
          <w:szCs w:val="44"/>
        </w:rPr>
        <w:t>录</w:t>
      </w:r>
    </w:p>
    <w:p>
      <w:pPr>
        <w:kinsoku w:val="0"/>
        <w:overflowPunct w:val="0"/>
        <w:adjustRightInd w:val="0"/>
        <w:snapToGrid w:val="0"/>
        <w:spacing w:line="360" w:lineRule="auto"/>
        <w:ind w:left="420" w:leftChars="200" w:right="3569" w:firstLine="640" w:firstLineChars="200"/>
        <w:rPr>
          <w:rFonts w:ascii="仿宋" w:hAnsi="仿宋" w:eastAsia="仿宋" w:cs="仿宋_GB2312"/>
          <w:w w:val="99"/>
          <w:sz w:val="32"/>
          <w:szCs w:val="32"/>
        </w:rPr>
      </w:pPr>
      <w:r>
        <w:rPr>
          <w:rFonts w:hint="eastAsia" w:ascii="仿宋" w:hAnsi="仿宋" w:eastAsia="仿宋" w:cs="仿宋_GB2312"/>
          <w:sz w:val="32"/>
          <w:szCs w:val="32"/>
        </w:rPr>
        <w:t>第一部分  概况</w:t>
      </w:r>
      <w:r>
        <w:rPr>
          <w:rFonts w:hint="eastAsia" w:ascii="仿宋" w:hAnsi="仿宋" w:eastAsia="仿宋" w:cs="仿宋_GB2312"/>
          <w:w w:val="99"/>
          <w:sz w:val="32"/>
          <w:szCs w:val="32"/>
        </w:rPr>
        <w:t xml:space="preserve"> </w:t>
      </w:r>
    </w:p>
    <w:p>
      <w:pPr>
        <w:kinsoku w:val="0"/>
        <w:overflowPunct w:val="0"/>
        <w:adjustRightInd w:val="0"/>
        <w:snapToGrid w:val="0"/>
        <w:spacing w:line="360" w:lineRule="auto"/>
        <w:ind w:left="420" w:leftChars="200" w:right="3569" w:firstLine="640" w:firstLineChars="200"/>
        <w:jc w:val="left"/>
        <w:rPr>
          <w:rFonts w:ascii="仿宋" w:hAnsi="仿宋" w:eastAsia="仿宋" w:cs="仿宋_GB2312"/>
          <w:sz w:val="32"/>
          <w:szCs w:val="32"/>
        </w:rPr>
      </w:pPr>
      <w:r>
        <w:rPr>
          <w:rFonts w:hint="eastAsia" w:ascii="仿宋" w:hAnsi="仿宋" w:eastAsia="仿宋" w:cs="仿宋_GB2312"/>
          <w:sz w:val="32"/>
          <w:szCs w:val="32"/>
        </w:rPr>
        <w:t>一、主要职能</w:t>
      </w:r>
    </w:p>
    <w:p>
      <w:pPr>
        <w:kinsoku w:val="0"/>
        <w:overflowPunct w:val="0"/>
        <w:adjustRightInd w:val="0"/>
        <w:snapToGrid w:val="0"/>
        <w:spacing w:line="360" w:lineRule="auto"/>
        <w:ind w:left="420" w:leftChars="200" w:right="3569" w:firstLine="640" w:firstLineChars="200"/>
        <w:jc w:val="left"/>
        <w:rPr>
          <w:rFonts w:ascii="仿宋" w:hAnsi="仿宋" w:eastAsia="仿宋" w:cs="仿宋_GB2312"/>
          <w:sz w:val="32"/>
          <w:szCs w:val="32"/>
        </w:rPr>
      </w:pPr>
      <w:r>
        <w:rPr>
          <w:rFonts w:hint="eastAsia" w:ascii="仿宋" w:hAnsi="仿宋" w:eastAsia="仿宋" w:cs="仿宋_GB2312"/>
          <w:sz w:val="32"/>
          <w:szCs w:val="32"/>
        </w:rPr>
        <w:t>二、部门预算单位构成</w:t>
      </w:r>
    </w:p>
    <w:p>
      <w:pPr>
        <w:kinsoku w:val="0"/>
        <w:overflowPunct w:val="0"/>
        <w:adjustRightInd w:val="0"/>
        <w:snapToGrid w:val="0"/>
        <w:spacing w:line="360" w:lineRule="auto"/>
        <w:ind w:left="420" w:leftChars="200" w:right="521" w:firstLine="640" w:firstLineChars="200"/>
        <w:rPr>
          <w:rFonts w:ascii="仿宋" w:hAnsi="仿宋" w:eastAsia="仿宋" w:cs="仿宋_GB2312"/>
          <w:w w:val="99"/>
          <w:sz w:val="32"/>
          <w:szCs w:val="32"/>
        </w:rPr>
      </w:pPr>
      <w:r>
        <w:rPr>
          <w:rFonts w:hint="eastAsia" w:ascii="仿宋" w:hAnsi="仿宋" w:eastAsia="仿宋" w:cs="仿宋_GB2312"/>
          <w:sz w:val="32"/>
          <w:szCs w:val="32"/>
        </w:rPr>
        <w:t>第二部分</w:t>
      </w:r>
      <w:r>
        <w:rPr>
          <w:rFonts w:hint="eastAsia" w:ascii="仿宋" w:hAnsi="仿宋" w:eastAsia="仿宋" w:cs="仿宋_GB2312"/>
          <w:spacing w:val="-38"/>
          <w:sz w:val="32"/>
          <w:szCs w:val="32"/>
        </w:rPr>
        <w:t xml:space="preserve"> </w:t>
      </w:r>
      <w:r>
        <w:rPr>
          <w:rFonts w:hint="eastAsia" w:ascii="仿宋" w:hAnsi="仿宋" w:eastAsia="仿宋" w:cs="仿宋_GB2312"/>
          <w:spacing w:val="-119"/>
          <w:sz w:val="32"/>
          <w:szCs w:val="32"/>
        </w:rPr>
        <w:t xml:space="preserve">      </w:t>
      </w:r>
      <w:r>
        <w:rPr>
          <w:rFonts w:hint="eastAsia" w:ascii="仿宋" w:hAnsi="仿宋" w:eastAsia="仿宋" w:cs="仿宋_GB2312"/>
          <w:sz w:val="32"/>
          <w:szCs w:val="32"/>
        </w:rPr>
        <w:t>2018年度部门预算情况说明</w:t>
      </w:r>
      <w:r>
        <w:rPr>
          <w:rFonts w:hint="eastAsia" w:ascii="仿宋" w:hAnsi="仿宋" w:eastAsia="仿宋" w:cs="仿宋_GB2312"/>
          <w:w w:val="99"/>
          <w:sz w:val="32"/>
          <w:szCs w:val="32"/>
        </w:rPr>
        <w:t xml:space="preserve"> </w:t>
      </w:r>
    </w:p>
    <w:p>
      <w:pPr>
        <w:kinsoku w:val="0"/>
        <w:overflowPunct w:val="0"/>
        <w:adjustRightInd w:val="0"/>
        <w:snapToGrid w:val="0"/>
        <w:spacing w:line="360" w:lineRule="auto"/>
        <w:ind w:left="420" w:leftChars="200" w:right="521" w:firstLine="640" w:firstLineChars="200"/>
        <w:rPr>
          <w:rFonts w:ascii="仿宋" w:hAnsi="仿宋" w:eastAsia="仿宋" w:cs="仿宋_GB2312"/>
          <w:sz w:val="32"/>
          <w:szCs w:val="32"/>
        </w:rPr>
      </w:pPr>
      <w:r>
        <w:rPr>
          <w:rFonts w:hint="eastAsia" w:ascii="仿宋" w:hAnsi="仿宋" w:eastAsia="仿宋" w:cs="仿宋_GB2312"/>
          <w:sz w:val="32"/>
          <w:szCs w:val="32"/>
        </w:rPr>
        <w:t>第三部分</w:t>
      </w:r>
      <w:r>
        <w:rPr>
          <w:rFonts w:hint="eastAsia" w:ascii="仿宋" w:hAnsi="仿宋" w:eastAsia="仿宋" w:cs="仿宋_GB2312"/>
          <w:spacing w:val="-32"/>
          <w:sz w:val="32"/>
          <w:szCs w:val="32"/>
        </w:rPr>
        <w:t xml:space="preserve"> </w:t>
      </w:r>
      <w:r>
        <w:rPr>
          <w:rFonts w:hint="eastAsia" w:ascii="仿宋" w:hAnsi="仿宋" w:eastAsia="仿宋" w:cs="仿宋_GB2312"/>
          <w:sz w:val="32"/>
          <w:szCs w:val="32"/>
        </w:rPr>
        <w:t>名词解释</w:t>
      </w:r>
    </w:p>
    <w:p>
      <w:pPr>
        <w:kinsoku w:val="0"/>
        <w:overflowPunct w:val="0"/>
        <w:adjustRightInd w:val="0"/>
        <w:snapToGrid w:val="0"/>
        <w:spacing w:line="360" w:lineRule="auto"/>
        <w:ind w:left="420" w:leftChars="200" w:firstLine="640" w:firstLineChars="200"/>
        <w:rPr>
          <w:rFonts w:ascii="仿宋" w:hAnsi="仿宋" w:eastAsia="仿宋" w:cs="仿宋_GB2312"/>
          <w:sz w:val="32"/>
          <w:szCs w:val="32"/>
        </w:rPr>
      </w:pPr>
      <w:r>
        <w:rPr>
          <w:rFonts w:hint="eastAsia" w:ascii="仿宋" w:hAnsi="仿宋" w:eastAsia="仿宋" w:cs="仿宋_GB2312"/>
          <w:sz w:val="32"/>
          <w:szCs w:val="32"/>
        </w:rPr>
        <w:t>附件：</w:t>
      </w:r>
      <w:r>
        <w:rPr>
          <w:rFonts w:hint="eastAsia" w:ascii="仿宋" w:hAnsi="仿宋" w:eastAsia="仿宋" w:cs="仿宋_GB2312"/>
          <w:spacing w:val="-32"/>
          <w:sz w:val="32"/>
          <w:szCs w:val="32"/>
        </w:rPr>
        <w:t xml:space="preserve"> </w:t>
      </w:r>
      <w:r>
        <w:rPr>
          <w:rFonts w:hint="eastAsia" w:ascii="仿宋" w:hAnsi="仿宋" w:eastAsia="仿宋" w:cs="仿宋_GB2312"/>
          <w:sz w:val="32"/>
          <w:szCs w:val="32"/>
        </w:rPr>
        <w:t xml:space="preserve"> 2018年度部门预算表</w:t>
      </w:r>
    </w:p>
    <w:p>
      <w:pPr>
        <w:kinsoku w:val="0"/>
        <w:overflowPunct w:val="0"/>
        <w:adjustRightInd w:val="0"/>
        <w:snapToGrid w:val="0"/>
        <w:spacing w:line="360" w:lineRule="auto"/>
        <w:ind w:left="420" w:leftChars="200" w:right="51" w:firstLine="640" w:firstLineChars="200"/>
        <w:jc w:val="left"/>
        <w:rPr>
          <w:rFonts w:ascii="仿宋" w:hAnsi="仿宋" w:eastAsia="仿宋" w:cs="仿宋_GB2312"/>
          <w:sz w:val="32"/>
          <w:szCs w:val="32"/>
        </w:rPr>
      </w:pPr>
      <w:r>
        <w:rPr>
          <w:rFonts w:hint="eastAsia" w:ascii="仿宋" w:hAnsi="仿宋" w:eastAsia="仿宋" w:cs="仿宋_GB2312"/>
          <w:sz w:val="32"/>
          <w:szCs w:val="32"/>
        </w:rPr>
        <w:t>一、部门收支总体情况表</w:t>
      </w:r>
    </w:p>
    <w:p>
      <w:pPr>
        <w:kinsoku w:val="0"/>
        <w:overflowPunct w:val="0"/>
        <w:adjustRightInd w:val="0"/>
        <w:snapToGrid w:val="0"/>
        <w:spacing w:line="360" w:lineRule="auto"/>
        <w:ind w:left="420" w:leftChars="200" w:right="51" w:firstLine="640" w:firstLineChars="200"/>
        <w:jc w:val="left"/>
        <w:rPr>
          <w:rFonts w:ascii="仿宋" w:hAnsi="仿宋" w:eastAsia="仿宋" w:cs="仿宋_GB2312"/>
          <w:sz w:val="32"/>
          <w:szCs w:val="32"/>
        </w:rPr>
      </w:pPr>
      <w:r>
        <w:rPr>
          <w:rFonts w:hint="eastAsia" w:ascii="仿宋" w:hAnsi="仿宋" w:eastAsia="仿宋" w:cs="仿宋_GB2312"/>
          <w:sz w:val="32"/>
          <w:szCs w:val="32"/>
        </w:rPr>
        <w:t>二、部门收入总体情况表</w:t>
      </w:r>
    </w:p>
    <w:p>
      <w:pPr>
        <w:kinsoku w:val="0"/>
        <w:overflowPunct w:val="0"/>
        <w:adjustRightInd w:val="0"/>
        <w:snapToGrid w:val="0"/>
        <w:spacing w:line="360" w:lineRule="auto"/>
        <w:ind w:left="420" w:leftChars="200" w:right="51" w:firstLine="640" w:firstLineChars="200"/>
        <w:jc w:val="left"/>
        <w:rPr>
          <w:rFonts w:ascii="仿宋" w:hAnsi="仿宋" w:eastAsia="仿宋" w:cs="仿宋_GB2312"/>
          <w:sz w:val="32"/>
          <w:szCs w:val="32"/>
        </w:rPr>
      </w:pPr>
      <w:r>
        <w:rPr>
          <w:rFonts w:hint="eastAsia" w:ascii="仿宋" w:hAnsi="仿宋" w:eastAsia="仿宋" w:cs="仿宋_GB2312"/>
          <w:sz w:val="32"/>
          <w:szCs w:val="32"/>
        </w:rPr>
        <w:t>三、部门支出总体情况表</w:t>
      </w:r>
    </w:p>
    <w:p>
      <w:pPr>
        <w:kinsoku w:val="0"/>
        <w:overflowPunct w:val="0"/>
        <w:adjustRightInd w:val="0"/>
        <w:snapToGrid w:val="0"/>
        <w:spacing w:line="360" w:lineRule="auto"/>
        <w:ind w:left="420" w:leftChars="200" w:right="51" w:firstLine="640" w:firstLineChars="200"/>
        <w:jc w:val="left"/>
        <w:rPr>
          <w:rFonts w:ascii="仿宋" w:hAnsi="仿宋" w:eastAsia="仿宋" w:cs="仿宋_GB2312"/>
          <w:sz w:val="32"/>
          <w:szCs w:val="32"/>
        </w:rPr>
      </w:pPr>
      <w:r>
        <w:rPr>
          <w:rFonts w:hint="eastAsia" w:ascii="仿宋" w:hAnsi="仿宋" w:eastAsia="仿宋" w:cs="仿宋_GB2312"/>
          <w:sz w:val="32"/>
          <w:szCs w:val="32"/>
        </w:rPr>
        <w:t>四、财政拨款收支总体情况表</w:t>
      </w:r>
    </w:p>
    <w:p>
      <w:pPr>
        <w:kinsoku w:val="0"/>
        <w:overflowPunct w:val="0"/>
        <w:adjustRightInd w:val="0"/>
        <w:snapToGrid w:val="0"/>
        <w:spacing w:line="360" w:lineRule="auto"/>
        <w:ind w:left="420" w:leftChars="200" w:right="51" w:firstLine="640" w:firstLineChars="200"/>
        <w:jc w:val="left"/>
        <w:rPr>
          <w:rFonts w:ascii="仿宋" w:hAnsi="仿宋" w:eastAsia="仿宋" w:cs="仿宋_GB2312"/>
          <w:sz w:val="32"/>
          <w:szCs w:val="32"/>
        </w:rPr>
      </w:pPr>
      <w:r>
        <w:rPr>
          <w:rFonts w:hint="eastAsia" w:ascii="仿宋" w:hAnsi="仿宋" w:eastAsia="仿宋" w:cs="仿宋_GB2312"/>
          <w:sz w:val="32"/>
          <w:szCs w:val="32"/>
        </w:rPr>
        <w:t>五、一般公共预算支出情况表</w:t>
      </w:r>
    </w:p>
    <w:p>
      <w:pPr>
        <w:kinsoku w:val="0"/>
        <w:overflowPunct w:val="0"/>
        <w:adjustRightInd w:val="0"/>
        <w:snapToGrid w:val="0"/>
        <w:spacing w:line="360" w:lineRule="auto"/>
        <w:ind w:left="420" w:leftChars="200" w:right="51" w:firstLine="640" w:firstLineChars="200"/>
        <w:jc w:val="left"/>
        <w:rPr>
          <w:rFonts w:ascii="仿宋" w:hAnsi="仿宋" w:eastAsia="仿宋" w:cs="仿宋_GB2312"/>
          <w:sz w:val="32"/>
          <w:szCs w:val="32"/>
        </w:rPr>
      </w:pPr>
      <w:r>
        <w:rPr>
          <w:rFonts w:hint="eastAsia" w:ascii="仿宋" w:hAnsi="仿宋" w:eastAsia="仿宋" w:cs="仿宋_GB2312"/>
          <w:sz w:val="32"/>
          <w:szCs w:val="32"/>
        </w:rPr>
        <w:t>六、一般公共预算基本支出情况表</w:t>
      </w:r>
    </w:p>
    <w:p>
      <w:pPr>
        <w:kinsoku w:val="0"/>
        <w:overflowPunct w:val="0"/>
        <w:adjustRightInd w:val="0"/>
        <w:snapToGrid w:val="0"/>
        <w:spacing w:line="360" w:lineRule="auto"/>
        <w:ind w:left="420" w:leftChars="200" w:right="51" w:firstLine="640" w:firstLineChars="200"/>
        <w:jc w:val="left"/>
        <w:rPr>
          <w:rFonts w:ascii="仿宋" w:hAnsi="仿宋" w:eastAsia="仿宋" w:cs="仿宋_GB2312"/>
          <w:sz w:val="32"/>
          <w:szCs w:val="32"/>
        </w:rPr>
      </w:pPr>
      <w:r>
        <w:rPr>
          <w:rFonts w:hint="eastAsia" w:ascii="仿宋" w:hAnsi="仿宋" w:eastAsia="仿宋" w:cs="仿宋_GB2312"/>
          <w:sz w:val="32"/>
          <w:szCs w:val="32"/>
        </w:rPr>
        <w:t>七、“三公”经费支出情况表</w:t>
      </w:r>
    </w:p>
    <w:p>
      <w:pPr>
        <w:kinsoku w:val="0"/>
        <w:overflowPunct w:val="0"/>
        <w:adjustRightInd w:val="0"/>
        <w:snapToGrid w:val="0"/>
        <w:spacing w:line="360" w:lineRule="auto"/>
        <w:ind w:left="420" w:leftChars="200" w:right="51" w:firstLine="640" w:firstLineChars="200"/>
        <w:jc w:val="left"/>
        <w:rPr>
          <w:rFonts w:ascii="仿宋" w:hAnsi="仿宋" w:eastAsia="仿宋" w:cs="仿宋_GB2312"/>
          <w:sz w:val="32"/>
          <w:szCs w:val="32"/>
        </w:rPr>
      </w:pPr>
      <w:r>
        <w:rPr>
          <w:rFonts w:hint="eastAsia" w:ascii="仿宋" w:hAnsi="仿宋" w:eastAsia="仿宋" w:cs="仿宋_GB2312"/>
          <w:sz w:val="32"/>
          <w:szCs w:val="32"/>
        </w:rPr>
        <w:t>八、政府性基金预算支出情况表</w:t>
      </w:r>
    </w:p>
    <w:p>
      <w:pPr>
        <w:kinsoku w:val="0"/>
        <w:overflowPunct w:val="0"/>
        <w:adjustRightInd w:val="0"/>
        <w:snapToGrid w:val="0"/>
        <w:spacing w:line="360" w:lineRule="auto"/>
        <w:ind w:left="420" w:leftChars="200" w:right="51" w:firstLine="640" w:firstLineChars="200"/>
        <w:jc w:val="left"/>
        <w:rPr>
          <w:rFonts w:ascii="仿宋" w:hAnsi="仿宋" w:eastAsia="仿宋" w:cs="仿宋_GB2312"/>
          <w:sz w:val="32"/>
          <w:szCs w:val="32"/>
        </w:rPr>
      </w:pPr>
      <w:r>
        <w:rPr>
          <w:rFonts w:hint="eastAsia" w:ascii="仿宋" w:hAnsi="仿宋" w:eastAsia="仿宋" w:cs="仿宋_GB2312"/>
          <w:sz w:val="32"/>
          <w:szCs w:val="32"/>
        </w:rPr>
        <w:t>九、机关运行经费</w:t>
      </w:r>
    </w:p>
    <w:p>
      <w:pPr>
        <w:kinsoku w:val="0"/>
        <w:overflowPunct w:val="0"/>
        <w:adjustRightInd w:val="0"/>
        <w:snapToGrid w:val="0"/>
        <w:spacing w:line="360" w:lineRule="auto"/>
        <w:ind w:left="420" w:leftChars="200" w:right="51" w:firstLine="640" w:firstLineChars="200"/>
        <w:jc w:val="left"/>
        <w:rPr>
          <w:rFonts w:ascii="仿宋" w:hAnsi="仿宋" w:eastAsia="仿宋" w:cs="仿宋_GB2312"/>
          <w:sz w:val="32"/>
          <w:szCs w:val="32"/>
        </w:rPr>
      </w:pPr>
      <w:r>
        <w:rPr>
          <w:rFonts w:hint="eastAsia" w:ascii="仿宋" w:hAnsi="仿宋" w:eastAsia="仿宋" w:cs="仿宋_GB2312"/>
          <w:sz w:val="32"/>
          <w:szCs w:val="32"/>
        </w:rPr>
        <w:t>十、国有资本经营预算收支情况表</w:t>
      </w:r>
    </w:p>
    <w:p>
      <w:pPr>
        <w:kinsoku w:val="0"/>
        <w:overflowPunct w:val="0"/>
        <w:adjustRightInd w:val="0"/>
        <w:snapToGrid w:val="0"/>
        <w:spacing w:line="360" w:lineRule="auto"/>
        <w:ind w:left="420" w:leftChars="200" w:right="51" w:firstLine="640" w:firstLineChars="200"/>
        <w:jc w:val="left"/>
        <w:rPr>
          <w:rFonts w:ascii="仿宋" w:hAnsi="仿宋" w:eastAsia="仿宋" w:cs="仿宋_GB2312"/>
          <w:sz w:val="32"/>
          <w:szCs w:val="32"/>
        </w:rPr>
      </w:pPr>
      <w:r>
        <w:rPr>
          <w:rFonts w:hint="eastAsia" w:ascii="仿宋_GB2312" w:hAnsi="仿宋_GB2312" w:eastAsia="仿宋_GB2312" w:cs="仿宋_GB2312"/>
          <w:sz w:val="32"/>
          <w:szCs w:val="32"/>
          <w:lang w:val="en-US" w:eastAsia="zh-CN"/>
        </w:rPr>
        <w:t>十一、预算项目绩效目标申报表</w:t>
      </w:r>
    </w:p>
    <w:p>
      <w:pPr>
        <w:kinsoku w:val="0"/>
        <w:overflowPunct w:val="0"/>
        <w:adjustRightInd w:val="0"/>
        <w:snapToGrid w:val="0"/>
        <w:spacing w:line="360" w:lineRule="auto"/>
        <w:ind w:left="420" w:leftChars="200" w:right="521" w:firstLine="640" w:firstLineChars="200"/>
        <w:rPr>
          <w:rFonts w:ascii="仿宋" w:hAnsi="仿宋" w:eastAsia="仿宋" w:cs="仿宋_GB2312"/>
          <w:sz w:val="32"/>
          <w:szCs w:val="32"/>
        </w:rPr>
      </w:pPr>
    </w:p>
    <w:p>
      <w:pPr>
        <w:adjustRightInd w:val="0"/>
        <w:snapToGrid w:val="0"/>
        <w:spacing w:line="360" w:lineRule="auto"/>
        <w:ind w:left="420" w:leftChars="200" w:firstLine="640" w:firstLineChars="200"/>
        <w:rPr>
          <w:rFonts w:hint="eastAsia" w:ascii="仿宋" w:hAnsi="仿宋" w:eastAsia="仿宋" w:cs="仿宋_GB2312"/>
          <w:sz w:val="32"/>
          <w:szCs w:val="32"/>
        </w:rPr>
      </w:pPr>
      <w:r>
        <w:rPr>
          <w:rFonts w:hint="eastAsia" w:ascii="仿宋" w:hAnsi="仿宋" w:eastAsia="仿宋" w:cs="仿宋_GB2312"/>
          <w:sz w:val="32"/>
          <w:szCs w:val="32"/>
        </w:rPr>
        <w:t xml:space="preserve">                   </w:t>
      </w:r>
    </w:p>
    <w:p>
      <w:pPr>
        <w:adjustRightInd w:val="0"/>
        <w:snapToGrid w:val="0"/>
        <w:spacing w:line="360" w:lineRule="auto"/>
        <w:ind w:left="420" w:leftChars="200" w:firstLine="3" w:firstLineChars="1"/>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第一部分</w:t>
      </w:r>
    </w:p>
    <w:p>
      <w:pPr>
        <w:adjustRightInd w:val="0"/>
        <w:snapToGrid w:val="0"/>
        <w:spacing w:line="360" w:lineRule="auto"/>
        <w:ind w:left="420" w:leftChars="200" w:firstLine="3" w:firstLineChars="1"/>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温县民政局单位概况</w:t>
      </w:r>
    </w:p>
    <w:p>
      <w:pPr>
        <w:adjustRightInd w:val="0"/>
        <w:snapToGrid w:val="0"/>
        <w:spacing w:line="360" w:lineRule="auto"/>
        <w:ind w:left="420" w:leftChars="200" w:firstLine="640" w:firstLineChars="200"/>
        <w:jc w:val="center"/>
        <w:rPr>
          <w:rFonts w:ascii="仿宋" w:hAnsi="仿宋" w:eastAsia="仿宋"/>
          <w:sz w:val="32"/>
          <w:szCs w:val="32"/>
        </w:rPr>
      </w:pPr>
    </w:p>
    <w:p>
      <w:pPr>
        <w:numPr>
          <w:ilvl w:val="0"/>
          <w:numId w:val="1"/>
        </w:numPr>
        <w:adjustRightInd w:val="0"/>
        <w:snapToGrid w:val="0"/>
        <w:spacing w:line="360" w:lineRule="auto"/>
        <w:ind w:left="420" w:leftChars="200"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主要职能</w:t>
      </w:r>
    </w:p>
    <w:p>
      <w:pPr>
        <w:numPr>
          <w:ilvl w:val="0"/>
          <w:numId w:val="2"/>
        </w:numPr>
        <w:kinsoku w:val="0"/>
        <w:overflowPunct w:val="0"/>
        <w:adjustRightInd w:val="0"/>
        <w:snapToGrid w:val="0"/>
        <w:spacing w:line="360" w:lineRule="auto"/>
        <w:ind w:left="420" w:leftChars="200" w:right="3569" w:firstLine="640" w:firstLineChars="200"/>
        <w:jc w:val="left"/>
        <w:rPr>
          <w:rFonts w:hint="eastAsia" w:ascii="黑体" w:hAnsi="黑体" w:eastAsia="黑体" w:cs="黑体"/>
          <w:sz w:val="32"/>
          <w:szCs w:val="32"/>
        </w:rPr>
      </w:pPr>
      <w:r>
        <w:rPr>
          <w:rFonts w:hint="eastAsia" w:ascii="黑体" w:hAnsi="黑体" w:eastAsia="黑体" w:cs="黑体"/>
          <w:sz w:val="32"/>
          <w:szCs w:val="32"/>
        </w:rPr>
        <w:t>机构设置情况</w:t>
      </w:r>
    </w:p>
    <w:p>
      <w:pPr>
        <w:pStyle w:val="3"/>
        <w:autoSpaceDE w:val="0"/>
        <w:spacing w:line="360" w:lineRule="auto"/>
        <w:ind w:left="420" w:leftChars="200" w:firstLine="640"/>
        <w:rPr>
          <w:rFonts w:ascii="仿宋" w:hAnsi="仿宋" w:eastAsia="仿宋"/>
          <w:sz w:val="32"/>
          <w:szCs w:val="32"/>
        </w:rPr>
      </w:pPr>
      <w:r>
        <w:rPr>
          <w:rFonts w:hint="eastAsia" w:ascii="仿宋" w:hAnsi="仿宋" w:eastAsia="仿宋"/>
          <w:sz w:val="32"/>
          <w:szCs w:val="32"/>
        </w:rPr>
        <w:t>温县</w:t>
      </w:r>
      <w:r>
        <w:rPr>
          <w:rFonts w:ascii="仿宋" w:hAnsi="仿宋" w:eastAsia="仿宋"/>
          <w:sz w:val="32"/>
          <w:szCs w:val="32"/>
        </w:rPr>
        <w:t>民政局设6个内设机构。</w:t>
      </w:r>
    </w:p>
    <w:p>
      <w:pPr>
        <w:pStyle w:val="3"/>
        <w:numPr>
          <w:ilvl w:val="0"/>
          <w:numId w:val="3"/>
        </w:numPr>
        <w:autoSpaceDE w:val="0"/>
        <w:spacing w:line="360" w:lineRule="auto"/>
        <w:ind w:left="420" w:leftChars="200" w:firstLine="640"/>
        <w:rPr>
          <w:rFonts w:ascii="仿宋" w:hAnsi="仿宋" w:eastAsia="仿宋"/>
          <w:sz w:val="32"/>
          <w:szCs w:val="32"/>
        </w:rPr>
      </w:pPr>
      <w:r>
        <w:rPr>
          <w:rFonts w:ascii="仿宋" w:hAnsi="仿宋" w:eastAsia="仿宋"/>
          <w:sz w:val="32"/>
          <w:szCs w:val="32"/>
        </w:rPr>
        <w:t>办公室（行政事项服务科）。协助局领导处理机关日常工作；调查研究和起草民政工作的规定和综合性文件；负责机关政务、文秘、信息、会务、法制、宣传、档案、安全、保密、督查督办和信息化建设工作；承担机关有关规范性文件的合法性审核工作；承担相关行政复议和行政应诉工作，承担行政审批制度改革工作。</w:t>
      </w:r>
    </w:p>
    <w:p>
      <w:pPr>
        <w:pStyle w:val="3"/>
        <w:autoSpaceDE w:val="0"/>
        <w:spacing w:line="360" w:lineRule="auto"/>
        <w:ind w:left="420" w:leftChars="200" w:firstLine="640"/>
        <w:rPr>
          <w:rFonts w:ascii="仿宋" w:hAnsi="仿宋" w:eastAsia="仿宋"/>
          <w:sz w:val="32"/>
          <w:szCs w:val="32"/>
        </w:rPr>
      </w:pPr>
      <w:r>
        <w:rPr>
          <w:rFonts w:ascii="仿宋" w:hAnsi="仿宋" w:eastAsia="仿宋"/>
          <w:sz w:val="32"/>
          <w:szCs w:val="32"/>
        </w:rPr>
        <w:t>负责机关及直属单位党群、计划生育、人事和机构编制管理和队伍建设等工作；负责机关后勤保障服务工作；负责民政干部教育培训工作；负责机关离退休干部工作，指导直属单位的离退休干部工作；会同有关方面拟订社会工作发展规划、政策和职业规范，推进社会工作人才队伍建设。</w:t>
      </w:r>
    </w:p>
    <w:p>
      <w:pPr>
        <w:pStyle w:val="3"/>
        <w:autoSpaceDE w:val="0"/>
        <w:spacing w:line="360" w:lineRule="auto"/>
        <w:ind w:left="420" w:leftChars="200" w:firstLine="640"/>
        <w:rPr>
          <w:rFonts w:ascii="仿宋" w:hAnsi="仿宋" w:eastAsia="仿宋"/>
          <w:sz w:val="32"/>
          <w:szCs w:val="32"/>
        </w:rPr>
      </w:pPr>
      <w:r>
        <w:rPr>
          <w:rFonts w:ascii="仿宋" w:hAnsi="仿宋" w:eastAsia="仿宋"/>
          <w:sz w:val="32"/>
          <w:szCs w:val="32"/>
        </w:rPr>
        <w:t>拟定全县民政事业发展规划和民政事业资金管理制度；指导和监督省、市、县级财政拨付的民政事业资金管理工作；负责机关财务工作；负责机关及直属单位国有资产管理和审计工作；负责民政统计管理工作。</w:t>
      </w:r>
    </w:p>
    <w:p>
      <w:pPr>
        <w:autoSpaceDE w:val="0"/>
        <w:spacing w:line="360" w:lineRule="auto"/>
        <w:ind w:left="420" w:leftChars="200" w:firstLine="640" w:firstLineChars="200"/>
        <w:rPr>
          <w:rFonts w:ascii="仿宋" w:hAnsi="仿宋" w:eastAsia="仿宋"/>
          <w:sz w:val="32"/>
          <w:szCs w:val="32"/>
        </w:rPr>
      </w:pPr>
      <w:r>
        <w:rPr>
          <w:rFonts w:ascii="仿宋" w:hAnsi="仿宋" w:eastAsia="仿宋"/>
          <w:sz w:val="32"/>
          <w:szCs w:val="32"/>
        </w:rPr>
        <w:t>负责统一受理（办理）送达行政许可事项；负责审核受理材料，催办督办有关行政事项办理进度，联络并协调相关科室及部门对许可事项报批过程中的有关问题；依据法律、法规和规章规定，承办对下列事项的许可审批：</w:t>
      </w:r>
      <w:r>
        <w:rPr>
          <w:rFonts w:hint="eastAsia" w:ascii="仿宋" w:hAnsi="仿宋" w:eastAsia="仿宋"/>
          <w:sz w:val="32"/>
          <w:szCs w:val="32"/>
        </w:rPr>
        <w:t>1.</w:t>
      </w:r>
      <w:r>
        <w:rPr>
          <w:rFonts w:ascii="仿宋" w:hAnsi="仿宋" w:eastAsia="仿宋"/>
          <w:sz w:val="32"/>
          <w:szCs w:val="32"/>
        </w:rPr>
        <w:t>社团和民办非企业单位成立、变更、注销登记及年审；</w:t>
      </w:r>
      <w:r>
        <w:rPr>
          <w:rFonts w:hint="eastAsia" w:ascii="仿宋" w:hAnsi="仿宋" w:eastAsia="仿宋"/>
          <w:sz w:val="32"/>
          <w:szCs w:val="32"/>
        </w:rPr>
        <w:t>2.</w:t>
      </w:r>
      <w:r>
        <w:rPr>
          <w:rFonts w:ascii="仿宋" w:hAnsi="仿宋" w:eastAsia="仿宋"/>
          <w:sz w:val="32"/>
          <w:szCs w:val="32"/>
        </w:rPr>
        <w:t>社会办养老机构的设立许可。</w:t>
      </w:r>
    </w:p>
    <w:p>
      <w:pPr>
        <w:autoSpaceDE w:val="0"/>
        <w:spacing w:line="360" w:lineRule="auto"/>
        <w:ind w:left="420" w:leftChars="200" w:firstLine="640" w:firstLineChars="200"/>
        <w:rPr>
          <w:rFonts w:ascii="仿宋" w:hAnsi="仿宋" w:eastAsia="仿宋"/>
          <w:sz w:val="32"/>
          <w:szCs w:val="32"/>
        </w:rPr>
      </w:pPr>
      <w:r>
        <w:rPr>
          <w:rFonts w:ascii="仿宋" w:hAnsi="仿宋" w:eastAsia="仿宋"/>
          <w:sz w:val="32"/>
          <w:szCs w:val="32"/>
        </w:rPr>
        <w:t>民间组织管理工作主要职责：贯彻落实社团和民办非企业单位管理办法并组织实施；负责全县社团和县本级民办非企业单位的登记和管理工作；查处社团组织的违法行为和未经登记而以社团名义开展活动的非法组织，查处民办非企业单位的违法行为和未经登记的民办非企业单位。</w:t>
      </w:r>
    </w:p>
    <w:p>
      <w:pPr>
        <w:pStyle w:val="3"/>
        <w:autoSpaceDE w:val="0"/>
        <w:spacing w:line="360" w:lineRule="auto"/>
        <w:ind w:left="420" w:leftChars="200" w:firstLine="640"/>
        <w:rPr>
          <w:rFonts w:ascii="仿宋" w:hAnsi="仿宋" w:eastAsia="仿宋"/>
          <w:sz w:val="32"/>
          <w:szCs w:val="32"/>
        </w:rPr>
      </w:pPr>
      <w:r>
        <w:rPr>
          <w:rFonts w:ascii="仿宋" w:hAnsi="仿宋" w:eastAsia="仿宋"/>
          <w:sz w:val="32"/>
          <w:szCs w:val="32"/>
        </w:rPr>
        <w:t>老龄工作主要职责：拟订全县老龄事业和养老服务业发展规划及有关政策标准，指导协调全县老龄工作；指导老年人权益保障工作；负责全县社会养老服务体系建设；指导社会化养老和养老服务信息化工作。</w:t>
      </w:r>
    </w:p>
    <w:p>
      <w:pPr>
        <w:autoSpaceDE w:val="0"/>
        <w:spacing w:line="360" w:lineRule="auto"/>
        <w:ind w:left="420" w:leftChars="200"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2</w:t>
      </w:r>
      <w:r>
        <w:rPr>
          <w:rFonts w:ascii="仿宋" w:hAnsi="仿宋" w:eastAsia="仿宋"/>
          <w:sz w:val="32"/>
          <w:szCs w:val="32"/>
        </w:rPr>
        <w:t>）优抚安置科。监督实施全县各类优抚对象优待、抚恤、补助政策和标准；审核报批、褒扬革命烈士；负责退役军人、人民警察、国家公务员、民兵的伤残评定工作；指导全县各类优抚机构、散葬烈士墓、烈士陵园的管理工作；组织指导全县拥军优属、拥政爱民活动；协调驻温部队参加地方重大工程、公益事业建设、抢险救灾、扶贫帮困、军民共建等拥政爱民活动;承担县双拥工作领导小组的日常工作；参与协调处理军地军民矛盾纠纷。</w:t>
      </w:r>
    </w:p>
    <w:p>
      <w:pPr>
        <w:autoSpaceDE w:val="0"/>
        <w:spacing w:line="360" w:lineRule="auto"/>
        <w:ind w:left="420" w:leftChars="200" w:firstLine="640" w:firstLineChars="200"/>
        <w:rPr>
          <w:rFonts w:ascii="仿宋" w:hAnsi="仿宋" w:eastAsia="仿宋"/>
          <w:sz w:val="32"/>
          <w:szCs w:val="32"/>
        </w:rPr>
      </w:pPr>
      <w:r>
        <w:rPr>
          <w:rFonts w:ascii="仿宋" w:hAnsi="仿宋" w:eastAsia="仿宋"/>
          <w:sz w:val="32"/>
          <w:szCs w:val="32"/>
        </w:rPr>
        <w:t>负责全县退役士兵、转业士官、军队复员干部和1-4级伤残军人的接收安置工作；参与拟订接收安置规定，会同有关部门下达安置计划并组织实施；负责全县转业士官、军队复员干部的交接；负责全县退役士兵待分配期间的管理教育、职业技能培训和生活补助费的发放工作；指导、协调复员退伍军人稳定工作。</w:t>
      </w:r>
    </w:p>
    <w:p>
      <w:pPr>
        <w:pStyle w:val="3"/>
        <w:autoSpaceDE w:val="0"/>
        <w:spacing w:line="360" w:lineRule="auto"/>
        <w:ind w:left="420" w:leftChars="200" w:firstLine="640"/>
        <w:rPr>
          <w:rFonts w:ascii="仿宋" w:hAnsi="仿宋" w:eastAsia="仿宋"/>
          <w:sz w:val="32"/>
          <w:szCs w:val="32"/>
        </w:rPr>
      </w:pPr>
      <w:r>
        <w:rPr>
          <w:rFonts w:ascii="仿宋" w:hAnsi="仿宋" w:eastAsia="仿宋"/>
          <w:sz w:val="32"/>
          <w:szCs w:val="32"/>
        </w:rPr>
        <w:t>负责全县军队离退休干部、士官和军队无军籍退休退职职工的接收安置和1980年前接收的易地安置的地方离、退休干部、职工的服务管理工作；指导全县移交地方管理的军队离退休干部休养所（站）的建设和管理工作；落实军休干部、军工（遗属）的有关政治、生活待遇；负责军队离退休干部住房改革工作。</w:t>
      </w:r>
    </w:p>
    <w:p>
      <w:pPr>
        <w:autoSpaceDE w:val="0"/>
        <w:spacing w:line="360" w:lineRule="auto"/>
        <w:ind w:left="420" w:leftChars="200"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3</w:t>
      </w:r>
      <w:r>
        <w:rPr>
          <w:rFonts w:ascii="仿宋" w:hAnsi="仿宋" w:eastAsia="仿宋"/>
          <w:sz w:val="32"/>
          <w:szCs w:val="32"/>
        </w:rPr>
        <w:t>）社会救助科。组织拟订社会救助政策和标准并监督实施；健全城乡社会救助体系；组织实施城乡居民最低生活保障、医疗救助、农村五保供养、城乡低收入家庭资格认定和临时救助工作；承担省、市和县级财政投入城乡最低生活保障、医疗救助、农村五保供养等资金的分配和监督工作；参与拟订住房、教育、司法救助相关办法；承担全县社会救助信息管理工作。</w:t>
      </w:r>
    </w:p>
    <w:p>
      <w:pPr>
        <w:pStyle w:val="3"/>
        <w:autoSpaceDE w:val="0"/>
        <w:spacing w:line="360" w:lineRule="auto"/>
        <w:ind w:left="420" w:leftChars="200" w:firstLine="64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4</w:t>
      </w:r>
      <w:r>
        <w:rPr>
          <w:rFonts w:ascii="仿宋" w:hAnsi="仿宋" w:eastAsia="仿宋"/>
          <w:sz w:val="32"/>
          <w:szCs w:val="32"/>
        </w:rPr>
        <w:t>）救灾救济科。拟订减灾救灾工作政策；承担减灾救灾组织、协调工作；组织自然灾害救助应急体系建设；承担全县灾情核查和统一发布等灾情管理工作；承担救灾款物管理、分配及监督使用工作；会同有关方面组织协调紧急转移安置灾民、农村灾民毁损房屋恢复重建补助和灾民生活救助工作；承担县级生活类救灾物资储备和救灾捐赠工作；拟订综合防灾减灾规划；承担县救灾工作领导小组的日常工作。</w:t>
      </w:r>
    </w:p>
    <w:p>
      <w:pPr>
        <w:pStyle w:val="3"/>
        <w:autoSpaceDE w:val="0"/>
        <w:spacing w:line="360" w:lineRule="auto"/>
        <w:ind w:left="420" w:leftChars="200" w:firstLine="64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5</w:t>
      </w:r>
      <w:r>
        <w:rPr>
          <w:rFonts w:ascii="仿宋" w:hAnsi="仿宋" w:eastAsia="仿宋"/>
          <w:sz w:val="32"/>
          <w:szCs w:val="32"/>
        </w:rPr>
        <w:t>）基层政权和区划地名科。拟订城乡基层群众自治建设和社区建设发展规划政策，指导社区服务体系建设，提出加强和改进基层政权建设的建议，指导村（居）民委员会的组织建设和制度建设；指导基层群众自治组织的培训工作；督促指导村（居）民委员会换届选举工作，开展村（居）民自治示范活动；承担县村务公开民主管理工作领导小组的日常工作；负责推动村务公开、基层民主政治建设；负责全县社区建设和服务管理工作。</w:t>
      </w:r>
    </w:p>
    <w:p>
      <w:pPr>
        <w:autoSpaceDE w:val="0"/>
        <w:spacing w:line="360" w:lineRule="auto"/>
        <w:ind w:left="420" w:leftChars="200" w:firstLine="640" w:firstLineChars="200"/>
        <w:rPr>
          <w:rFonts w:ascii="仿宋" w:hAnsi="仿宋" w:eastAsia="仿宋"/>
          <w:sz w:val="32"/>
          <w:szCs w:val="32"/>
        </w:rPr>
      </w:pPr>
      <w:r>
        <w:rPr>
          <w:rFonts w:ascii="仿宋" w:hAnsi="仿宋" w:eastAsia="仿宋"/>
          <w:sz w:val="32"/>
          <w:szCs w:val="32"/>
        </w:rPr>
        <w:t>具体制订全县行政区划和行政区域界限、地名管理办法，负责全县乡镇行政区域的设立、命名、变更及政府驻地迁移的初审报批工作和乡镇行政区域界线勘定及管理，负责行政村的合并、撤销、命名、更名的审核。承办勘定毗邻市、县的边界线工作；负责县级行政区域界线的勘定和管理，调处行政区域界线争议；负责乡镇行政区域界线的勘定和管理工作；指导规范全县地名标志的设置和管理；负责全县地名档案、行政区域界线资料管理及公开出版的标准地名图书资料的审定。</w:t>
      </w:r>
    </w:p>
    <w:p>
      <w:pPr>
        <w:pStyle w:val="3"/>
        <w:autoSpaceDE w:val="0"/>
        <w:spacing w:line="360" w:lineRule="auto"/>
        <w:ind w:left="420" w:leftChars="200" w:firstLine="64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6</w:t>
      </w:r>
      <w:r>
        <w:rPr>
          <w:rFonts w:ascii="仿宋" w:hAnsi="仿宋" w:eastAsia="仿宋"/>
          <w:sz w:val="32"/>
          <w:szCs w:val="32"/>
        </w:rPr>
        <w:t>）社会福利和社会事务科。拟订全县社会福利事业发展规划、政策和标准并组织实施；贯彻落实孤儿和残疾人等特殊群体权益保护政策；负责社会福利机构的管理和福利彩票发行的管理；管理县本级福利彩票公益金；指导福利机构养育、教育、医疗、康复等工作；贯彻落实社会福利企业扶持政策；贯彻落实促进慈善事业发展政策，负责慈善工作；组织和指导社会捐助工作；负责残疾人特殊教育和康复工作。</w:t>
      </w:r>
    </w:p>
    <w:p>
      <w:pPr>
        <w:autoSpaceDE w:val="0"/>
        <w:spacing w:line="360" w:lineRule="auto"/>
        <w:ind w:left="420" w:leftChars="200" w:firstLine="640" w:firstLineChars="200"/>
        <w:rPr>
          <w:rFonts w:ascii="仿宋" w:hAnsi="仿宋" w:eastAsia="仿宋"/>
          <w:sz w:val="32"/>
          <w:szCs w:val="32"/>
        </w:rPr>
      </w:pPr>
      <w:r>
        <w:rPr>
          <w:rFonts w:ascii="仿宋" w:hAnsi="仿宋" w:eastAsia="仿宋"/>
          <w:sz w:val="32"/>
          <w:szCs w:val="32"/>
        </w:rPr>
        <w:t>拟订婚姻、殡葬管理和城市生活无着人员救助管理政策；推进全县婚俗和殡葬改革；指导收养工作，承担儿童涉外收养登记工作；指导协调生活无着人员救助保护工作；指导全县婚姻登记工作；承担全县婚姻登记信息管理工作；指导全县婚姻、殡葬、收养、救助服务机构管理工作。</w:t>
      </w:r>
    </w:p>
    <w:p>
      <w:pPr>
        <w:kinsoku w:val="0"/>
        <w:overflowPunct w:val="0"/>
        <w:adjustRightInd w:val="0"/>
        <w:snapToGrid w:val="0"/>
        <w:spacing w:line="360" w:lineRule="auto"/>
        <w:ind w:left="420" w:leftChars="200" w:right="3569" w:firstLine="640" w:firstLineChars="200"/>
        <w:jc w:val="left"/>
        <w:rPr>
          <w:rFonts w:ascii="仿宋" w:hAnsi="仿宋" w:eastAsia="仿宋" w:cs="仿宋_GB2312"/>
          <w:sz w:val="32"/>
          <w:szCs w:val="32"/>
        </w:rPr>
      </w:pPr>
      <w:r>
        <w:rPr>
          <w:rFonts w:hint="eastAsia" w:ascii="仿宋" w:hAnsi="仿宋" w:eastAsia="仿宋" w:cs="仿宋_GB2312"/>
          <w:sz w:val="32"/>
          <w:szCs w:val="32"/>
        </w:rPr>
        <w:t>（二）部门职责</w:t>
      </w:r>
    </w:p>
    <w:p>
      <w:pPr>
        <w:pStyle w:val="3"/>
        <w:spacing w:line="360" w:lineRule="auto"/>
        <w:ind w:left="420" w:leftChars="200" w:firstLine="640"/>
        <w:rPr>
          <w:rFonts w:ascii="仿宋" w:hAnsi="仿宋" w:eastAsia="仿宋"/>
          <w:kern w:val="0"/>
          <w:sz w:val="32"/>
          <w:szCs w:val="32"/>
        </w:rPr>
      </w:pPr>
      <w:r>
        <w:rPr>
          <w:rFonts w:hint="eastAsia" w:ascii="仿宋" w:hAnsi="仿宋" w:eastAsia="仿宋"/>
          <w:kern w:val="0"/>
          <w:sz w:val="32"/>
          <w:szCs w:val="32"/>
        </w:rPr>
        <w:t>（1）贯彻执行国家、省、市有关民政工作法律、法规和方针、政策；拟订全县民政事业发展规划和民政工作政策；起草全县有关民政工作规范性文件并组织实施和监督检查。</w:t>
      </w:r>
    </w:p>
    <w:p>
      <w:pPr>
        <w:pStyle w:val="3"/>
        <w:spacing w:line="360" w:lineRule="auto"/>
        <w:ind w:left="420" w:leftChars="200" w:firstLine="640"/>
        <w:jc w:val="left"/>
        <w:rPr>
          <w:rFonts w:ascii="仿宋" w:hAnsi="仿宋" w:eastAsia="仿宋"/>
          <w:kern w:val="0"/>
          <w:sz w:val="32"/>
          <w:szCs w:val="32"/>
        </w:rPr>
      </w:pPr>
      <w:r>
        <w:rPr>
          <w:rFonts w:hint="eastAsia" w:ascii="仿宋" w:hAnsi="仿宋" w:eastAsia="仿宋"/>
          <w:kern w:val="0"/>
          <w:sz w:val="32"/>
          <w:szCs w:val="32"/>
        </w:rPr>
        <w:t>（2）承担依法对社会团体、基金会、民办非企业单位进行登记管理和监察责任。监督查处社团、基金会、民办非企业单位未登记而开展的各种活动，指导全县社团、基金会、民办非企业单位的管理工作。</w:t>
      </w:r>
    </w:p>
    <w:p>
      <w:pPr>
        <w:pStyle w:val="3"/>
        <w:spacing w:line="360" w:lineRule="auto"/>
        <w:ind w:left="420" w:leftChars="200" w:firstLine="640"/>
        <w:jc w:val="left"/>
        <w:rPr>
          <w:rFonts w:ascii="仿宋" w:hAnsi="仿宋" w:eastAsia="仿宋"/>
          <w:kern w:val="0"/>
          <w:sz w:val="32"/>
          <w:szCs w:val="32"/>
        </w:rPr>
      </w:pPr>
      <w:r>
        <w:rPr>
          <w:rFonts w:hint="eastAsia" w:ascii="仿宋" w:hAnsi="仿宋" w:eastAsia="仿宋"/>
          <w:kern w:val="0"/>
          <w:sz w:val="32"/>
          <w:szCs w:val="32"/>
        </w:rPr>
        <w:t>（3）贯彻落实和制订全县优抚政策；组织和指导拥军优属、拥政爱民工作，监督落实各类优抚标准；审核报批、褒扬革命烈士；指导各类优抚机构、散葬烈士墓、烈士陵园的管理工作；指导全县军事饮食供应、军人接待的保障和管理工作。</w:t>
      </w:r>
    </w:p>
    <w:p>
      <w:pPr>
        <w:pStyle w:val="3"/>
        <w:spacing w:line="360" w:lineRule="auto"/>
        <w:ind w:left="420" w:leftChars="200" w:firstLine="640"/>
        <w:jc w:val="left"/>
        <w:rPr>
          <w:rFonts w:ascii="仿宋" w:hAnsi="仿宋" w:eastAsia="仿宋"/>
          <w:kern w:val="0"/>
          <w:sz w:val="32"/>
          <w:szCs w:val="32"/>
        </w:rPr>
      </w:pPr>
      <w:r>
        <w:rPr>
          <w:rFonts w:hint="eastAsia" w:ascii="仿宋" w:hAnsi="仿宋" w:eastAsia="仿宋"/>
          <w:kern w:val="0"/>
          <w:sz w:val="32"/>
          <w:szCs w:val="32"/>
        </w:rPr>
        <w:t>（4）具体制订全县军队离退休干部、退休士官和军队无军籍退休退职职工（简称军休人员）、复员退伍军人安置办法并组织实施；负责退役士兵、复员干部、移交地方安置的军队离退休干部和军队无军籍退休退职职工的接收安置工作；落实军队离退休干部、军工（遗属）的有关政治、生活待遇。</w:t>
      </w:r>
    </w:p>
    <w:p>
      <w:pPr>
        <w:pStyle w:val="3"/>
        <w:spacing w:line="360" w:lineRule="auto"/>
        <w:ind w:left="420" w:leftChars="200" w:firstLine="640"/>
        <w:jc w:val="left"/>
        <w:rPr>
          <w:rFonts w:ascii="仿宋" w:hAnsi="仿宋" w:eastAsia="仿宋"/>
          <w:kern w:val="0"/>
          <w:sz w:val="32"/>
          <w:szCs w:val="32"/>
        </w:rPr>
      </w:pPr>
      <w:r>
        <w:rPr>
          <w:rFonts w:hint="eastAsia" w:ascii="仿宋" w:hAnsi="仿宋" w:eastAsia="仿宋"/>
          <w:kern w:val="0"/>
          <w:sz w:val="32"/>
          <w:szCs w:val="32"/>
        </w:rPr>
        <w:t>（5）具体制订全县救灾工作政策；负责组织、协调全县减灾救灾工作；组织自然灾害救助应急体系建设；负责组织核查并统一发布灾情，筹措、管理、分配救灾款物并监督使用。</w:t>
      </w:r>
    </w:p>
    <w:p>
      <w:pPr>
        <w:pStyle w:val="3"/>
        <w:spacing w:line="360" w:lineRule="auto"/>
        <w:ind w:left="420" w:leftChars="200" w:firstLine="640"/>
        <w:jc w:val="left"/>
        <w:rPr>
          <w:rFonts w:ascii="仿宋" w:hAnsi="仿宋" w:eastAsia="仿宋"/>
          <w:kern w:val="0"/>
          <w:sz w:val="32"/>
          <w:szCs w:val="32"/>
        </w:rPr>
      </w:pPr>
      <w:r>
        <w:rPr>
          <w:rFonts w:hint="eastAsia" w:ascii="仿宋" w:hAnsi="仿宋" w:eastAsia="仿宋"/>
          <w:kern w:val="0"/>
          <w:sz w:val="32"/>
          <w:szCs w:val="32"/>
        </w:rPr>
        <w:t>（6）牵头拟订全县社会救助规划、政策、标准，健全城乡社会救助体系；负责城乡居民最低生活保障、农村五保户供养、医疗救助、临时救助、生活无着人员救助工作；指导救助管理站建设。</w:t>
      </w:r>
    </w:p>
    <w:p>
      <w:pPr>
        <w:pStyle w:val="3"/>
        <w:spacing w:line="360" w:lineRule="auto"/>
        <w:ind w:left="420" w:leftChars="200" w:firstLine="640"/>
        <w:jc w:val="left"/>
        <w:rPr>
          <w:rFonts w:ascii="仿宋" w:hAnsi="仿宋" w:eastAsia="仿宋"/>
          <w:kern w:val="0"/>
          <w:sz w:val="32"/>
          <w:szCs w:val="32"/>
        </w:rPr>
      </w:pPr>
      <w:r>
        <w:rPr>
          <w:rFonts w:hint="eastAsia" w:ascii="仿宋" w:hAnsi="仿宋" w:eastAsia="仿宋"/>
          <w:kern w:val="0"/>
          <w:sz w:val="32"/>
          <w:szCs w:val="32"/>
        </w:rPr>
        <w:t>（7）具体制订全县行政区划和行政区域界限、地名管理办法，负责全县乡镇行政区域的设立、命名、变更及政府驻地迁移的初审报批工作和乡镇行政区域界线勘定及管理，负责行政村的合并、撤销、命名、更名的审核。</w:t>
      </w:r>
    </w:p>
    <w:p>
      <w:pPr>
        <w:pStyle w:val="3"/>
        <w:spacing w:line="360" w:lineRule="auto"/>
        <w:ind w:left="420" w:leftChars="200" w:firstLine="640"/>
        <w:jc w:val="left"/>
        <w:rPr>
          <w:rFonts w:ascii="仿宋" w:hAnsi="仿宋" w:eastAsia="仿宋"/>
          <w:kern w:val="0"/>
          <w:sz w:val="32"/>
          <w:szCs w:val="32"/>
        </w:rPr>
      </w:pPr>
      <w:r>
        <w:rPr>
          <w:rFonts w:hint="eastAsia" w:ascii="仿宋" w:hAnsi="仿宋" w:eastAsia="仿宋"/>
          <w:kern w:val="0"/>
          <w:sz w:val="32"/>
          <w:szCs w:val="32"/>
        </w:rPr>
        <w:t>（8）具体制订全县城乡基层群众自治建设和社区建设办法并指导实施；指导社区服务体系建设，提出加强和改进城乡基层政权建设的建议；推动村务公开和基层民主政治建设。</w:t>
      </w:r>
    </w:p>
    <w:p>
      <w:pPr>
        <w:pStyle w:val="3"/>
        <w:spacing w:line="360" w:lineRule="auto"/>
        <w:ind w:left="420" w:leftChars="200" w:firstLine="640"/>
        <w:jc w:val="left"/>
        <w:rPr>
          <w:rFonts w:ascii="仿宋" w:hAnsi="仿宋" w:eastAsia="仿宋"/>
          <w:kern w:val="0"/>
          <w:sz w:val="32"/>
          <w:szCs w:val="32"/>
        </w:rPr>
      </w:pPr>
      <w:r>
        <w:rPr>
          <w:rFonts w:hint="eastAsia" w:ascii="仿宋" w:hAnsi="仿宋" w:eastAsia="仿宋"/>
          <w:kern w:val="0"/>
          <w:sz w:val="32"/>
          <w:szCs w:val="32"/>
        </w:rPr>
        <w:t>（9）具体制订全县社会福利事业发展规划、政策和标准；负责社会福利机构的管理和福利彩票发行的管理，组织制订促进慈善事业发展的政策；组织、指导社会捐助和救灾捐赠工作；负责孤儿和残疾人等特殊群体权益保障工作。</w:t>
      </w:r>
    </w:p>
    <w:p>
      <w:pPr>
        <w:pStyle w:val="3"/>
        <w:spacing w:line="360" w:lineRule="auto"/>
        <w:ind w:left="420" w:leftChars="200" w:firstLine="640"/>
        <w:jc w:val="left"/>
        <w:rPr>
          <w:rFonts w:ascii="仿宋" w:hAnsi="仿宋" w:eastAsia="仿宋"/>
          <w:kern w:val="0"/>
          <w:sz w:val="32"/>
          <w:szCs w:val="32"/>
        </w:rPr>
      </w:pPr>
      <w:r>
        <w:rPr>
          <w:rFonts w:hint="eastAsia" w:ascii="仿宋" w:hAnsi="仿宋" w:eastAsia="仿宋"/>
          <w:kern w:val="0"/>
          <w:sz w:val="32"/>
          <w:szCs w:val="32"/>
        </w:rPr>
        <w:t>（10）具体制订全县婚姻管理、殡葬管理和儿童收养政策并组织实施；指导婚姻登记、殡葬管理和儿童收养工作，负责推进婚俗和殡葬改革。</w:t>
      </w:r>
    </w:p>
    <w:p>
      <w:pPr>
        <w:pStyle w:val="3"/>
        <w:spacing w:line="360" w:lineRule="auto"/>
        <w:ind w:left="420" w:leftChars="200" w:firstLine="640"/>
        <w:jc w:val="left"/>
        <w:rPr>
          <w:rFonts w:ascii="仿宋" w:hAnsi="仿宋" w:eastAsia="仿宋"/>
          <w:kern w:val="0"/>
          <w:sz w:val="32"/>
          <w:szCs w:val="32"/>
        </w:rPr>
      </w:pPr>
      <w:r>
        <w:rPr>
          <w:rFonts w:hint="eastAsia" w:ascii="仿宋" w:hAnsi="仿宋" w:eastAsia="仿宋"/>
          <w:kern w:val="0"/>
          <w:sz w:val="32"/>
          <w:szCs w:val="32"/>
        </w:rPr>
        <w:t>（11）具体制订全县老龄事业发展规划和政策并组织实施；指导老年人权益保障工作，综合协调养老服务业发展，组织指导养老服务体系建设工作。</w:t>
      </w:r>
    </w:p>
    <w:p>
      <w:pPr>
        <w:pStyle w:val="3"/>
        <w:spacing w:line="360" w:lineRule="auto"/>
        <w:ind w:left="420" w:leftChars="200" w:firstLine="640"/>
        <w:jc w:val="left"/>
        <w:rPr>
          <w:rFonts w:ascii="仿宋" w:hAnsi="仿宋" w:eastAsia="仿宋"/>
          <w:kern w:val="0"/>
          <w:sz w:val="32"/>
          <w:szCs w:val="32"/>
        </w:rPr>
      </w:pPr>
      <w:r>
        <w:rPr>
          <w:rFonts w:hint="eastAsia" w:ascii="仿宋" w:hAnsi="仿宋" w:eastAsia="仿宋"/>
          <w:kern w:val="0"/>
          <w:sz w:val="32"/>
          <w:szCs w:val="32"/>
        </w:rPr>
        <w:t>（12）会同有关部门制订社会工作发展规划、政策和职业规范，推进社会工作人才队伍建设和相关志愿者队伍建设。</w:t>
      </w:r>
    </w:p>
    <w:p>
      <w:pPr>
        <w:pStyle w:val="3"/>
        <w:spacing w:line="360" w:lineRule="auto"/>
        <w:ind w:left="420" w:leftChars="200" w:firstLine="640"/>
        <w:jc w:val="left"/>
        <w:rPr>
          <w:rFonts w:ascii="仿宋" w:hAnsi="仿宋" w:eastAsia="仿宋"/>
          <w:kern w:val="0"/>
          <w:sz w:val="32"/>
          <w:szCs w:val="32"/>
        </w:rPr>
      </w:pPr>
      <w:r>
        <w:rPr>
          <w:rFonts w:hint="eastAsia" w:ascii="仿宋" w:hAnsi="仿宋" w:eastAsia="仿宋"/>
          <w:kern w:val="0"/>
          <w:sz w:val="32"/>
          <w:szCs w:val="32"/>
        </w:rPr>
        <w:t>（13）承办法律、法规、规章规定的行政审批事项，其他事项按权限规定办理。</w:t>
      </w:r>
    </w:p>
    <w:p>
      <w:pPr>
        <w:pStyle w:val="3"/>
        <w:spacing w:line="360" w:lineRule="auto"/>
        <w:ind w:left="420" w:leftChars="200" w:firstLine="640"/>
        <w:jc w:val="left"/>
        <w:rPr>
          <w:rFonts w:ascii="仿宋" w:hAnsi="仿宋" w:eastAsia="仿宋"/>
          <w:sz w:val="32"/>
          <w:szCs w:val="32"/>
        </w:rPr>
      </w:pPr>
      <w:r>
        <w:rPr>
          <w:rFonts w:hint="eastAsia" w:ascii="仿宋" w:hAnsi="仿宋" w:eastAsia="仿宋"/>
          <w:kern w:val="0"/>
          <w:sz w:val="32"/>
          <w:szCs w:val="32"/>
        </w:rPr>
        <w:t>（14）承办县政府交办的其他事项。</w:t>
      </w:r>
    </w:p>
    <w:p>
      <w:pPr>
        <w:kinsoku w:val="0"/>
        <w:overflowPunct w:val="0"/>
        <w:adjustRightInd w:val="0"/>
        <w:snapToGrid w:val="0"/>
        <w:spacing w:line="360" w:lineRule="auto"/>
        <w:ind w:left="420" w:leftChars="200" w:right="3569" w:firstLine="640" w:firstLineChars="200"/>
        <w:jc w:val="left"/>
        <w:outlineLvl w:val="0"/>
        <w:rPr>
          <w:rFonts w:ascii="仿宋" w:hAnsi="仿宋" w:eastAsia="仿宋"/>
          <w:sz w:val="32"/>
          <w:szCs w:val="32"/>
        </w:rPr>
      </w:pPr>
      <w:r>
        <w:rPr>
          <w:rFonts w:hint="eastAsia" w:ascii="仿宋" w:hAnsi="仿宋" w:eastAsia="仿宋"/>
          <w:sz w:val="32"/>
          <w:szCs w:val="32"/>
        </w:rPr>
        <w:t>二、部门预算单位构成</w:t>
      </w:r>
    </w:p>
    <w:p>
      <w:pPr>
        <w:pStyle w:val="3"/>
        <w:spacing w:line="360" w:lineRule="auto"/>
        <w:ind w:left="420" w:leftChars="200" w:firstLine="64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我单位有二级机构2个，本预算为汇总预算，纳入我单位2018年部门预算编报范围的二级机构有：</w:t>
      </w:r>
    </w:p>
    <w:p>
      <w:pPr>
        <w:pStyle w:val="3"/>
        <w:numPr>
          <w:ilvl w:val="0"/>
          <w:numId w:val="4"/>
        </w:numPr>
        <w:spacing w:line="360" w:lineRule="auto"/>
        <w:ind w:left="420" w:leftChars="200" w:firstLine="640"/>
        <w:rPr>
          <w:rFonts w:ascii="仿宋" w:hAnsi="仿宋" w:eastAsia="仿宋"/>
          <w:sz w:val="32"/>
          <w:szCs w:val="32"/>
        </w:rPr>
      </w:pPr>
      <w:r>
        <w:rPr>
          <w:rFonts w:hint="eastAsia" w:ascii="仿宋" w:hAnsi="仿宋" w:eastAsia="仿宋"/>
          <w:sz w:val="32"/>
          <w:szCs w:val="32"/>
        </w:rPr>
        <w:t>温县救助管理站</w:t>
      </w:r>
    </w:p>
    <w:p>
      <w:pPr>
        <w:pStyle w:val="3"/>
        <w:numPr>
          <w:ilvl w:val="0"/>
          <w:numId w:val="4"/>
        </w:numPr>
        <w:spacing w:line="360" w:lineRule="auto"/>
        <w:ind w:left="420" w:leftChars="200" w:firstLine="640"/>
        <w:rPr>
          <w:rFonts w:ascii="仿宋" w:hAnsi="仿宋" w:eastAsia="仿宋"/>
          <w:sz w:val="32"/>
          <w:szCs w:val="32"/>
        </w:rPr>
      </w:pPr>
      <w:r>
        <w:rPr>
          <w:rFonts w:hint="eastAsia" w:ascii="仿宋" w:hAnsi="仿宋" w:eastAsia="仿宋"/>
          <w:sz w:val="32"/>
          <w:szCs w:val="32"/>
        </w:rPr>
        <w:t>温县中心敬老院</w:t>
      </w:r>
    </w:p>
    <w:p>
      <w:pPr>
        <w:widowControl/>
        <w:shd w:val="clear" w:color="auto" w:fill="FFFFFF"/>
        <w:spacing w:line="360" w:lineRule="auto"/>
        <w:ind w:left="420" w:leftChars="200" w:firstLine="640" w:firstLineChars="200"/>
        <w:jc w:val="left"/>
        <w:rPr>
          <w:rFonts w:ascii="仿宋" w:hAnsi="仿宋" w:eastAsia="仿宋" w:cs="仿宋_GB2312"/>
          <w:sz w:val="32"/>
          <w:szCs w:val="32"/>
        </w:rPr>
      </w:pPr>
      <w:r>
        <w:rPr>
          <w:rFonts w:hint="eastAsia" w:ascii="仿宋" w:hAnsi="仿宋" w:eastAsia="仿宋" w:cs="仿宋_GB2312"/>
          <w:color w:val="000000"/>
          <w:kern w:val="0"/>
          <w:sz w:val="32"/>
          <w:szCs w:val="32"/>
        </w:rPr>
        <w:t xml:space="preserve">  </w:t>
      </w:r>
    </w:p>
    <w:p>
      <w:pPr>
        <w:adjustRightInd w:val="0"/>
        <w:snapToGrid w:val="0"/>
        <w:spacing w:line="360" w:lineRule="auto"/>
        <w:ind w:left="420" w:leftChars="200" w:firstLine="3" w:firstLineChars="1"/>
        <w:rPr>
          <w:rFonts w:ascii="仿宋" w:hAnsi="仿宋" w:eastAsia="仿宋" w:cs="仿宋_GB2312"/>
          <w:sz w:val="32"/>
          <w:szCs w:val="32"/>
        </w:rPr>
      </w:pPr>
    </w:p>
    <w:p>
      <w:pPr>
        <w:adjustRightInd w:val="0"/>
        <w:snapToGrid w:val="0"/>
        <w:spacing w:line="360" w:lineRule="auto"/>
        <w:ind w:left="420" w:leftChars="200" w:firstLine="3" w:firstLineChars="1"/>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第二部分</w:t>
      </w:r>
    </w:p>
    <w:p>
      <w:pPr>
        <w:adjustRightInd w:val="0"/>
        <w:snapToGrid w:val="0"/>
        <w:spacing w:line="360" w:lineRule="auto"/>
        <w:ind w:left="420" w:leftChars="200" w:firstLine="3" w:firstLineChars="1"/>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 xml:space="preserve"> 2018年度部门预算情况说明</w:t>
      </w:r>
    </w:p>
    <w:p>
      <w:pPr>
        <w:adjustRightInd w:val="0"/>
        <w:snapToGrid w:val="0"/>
        <w:spacing w:line="360" w:lineRule="auto"/>
        <w:ind w:left="420" w:leftChars="200" w:firstLine="640" w:firstLineChars="200"/>
        <w:rPr>
          <w:rFonts w:ascii="仿宋" w:hAnsi="仿宋" w:eastAsia="仿宋" w:cs="方正小标宋简体"/>
          <w:sz w:val="32"/>
          <w:szCs w:val="32"/>
        </w:rPr>
      </w:pPr>
    </w:p>
    <w:p>
      <w:pPr>
        <w:adjustRightInd w:val="0"/>
        <w:snapToGrid w:val="0"/>
        <w:spacing w:line="360" w:lineRule="auto"/>
        <w:ind w:left="420" w:leftChars="200"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一、收入支出预算总体情况说明</w:t>
      </w:r>
    </w:p>
    <w:p>
      <w:pPr>
        <w:adjustRightInd w:val="0"/>
        <w:snapToGrid w:val="0"/>
        <w:spacing w:line="360" w:lineRule="auto"/>
        <w:ind w:left="420" w:leftChars="200" w:firstLine="640" w:firstLineChars="200"/>
        <w:rPr>
          <w:rFonts w:ascii="仿宋" w:hAnsi="仿宋" w:eastAsia="仿宋" w:cs="仿宋_GB2312"/>
          <w:sz w:val="32"/>
          <w:szCs w:val="32"/>
        </w:rPr>
      </w:pPr>
      <w:r>
        <w:rPr>
          <w:rFonts w:hint="eastAsia" w:ascii="仿宋" w:hAnsi="仿宋" w:eastAsia="仿宋" w:cs="仿宋_GB2312"/>
          <w:sz w:val="32"/>
          <w:szCs w:val="32"/>
        </w:rPr>
        <w:t>温县民政局2018年收入总计 5778.32万元，支出总计5778.32万元，与2017年相比，收、支总计各</w:t>
      </w:r>
      <w:r>
        <w:rPr>
          <w:rFonts w:hint="eastAsia" w:ascii="仿宋" w:hAnsi="仿宋" w:eastAsia="仿宋" w:cs="仿宋_GB2312"/>
          <w:sz w:val="32"/>
          <w:szCs w:val="32"/>
          <w:lang w:eastAsia="zh-CN"/>
        </w:rPr>
        <w:t>增加</w:t>
      </w:r>
      <w:r>
        <w:rPr>
          <w:rFonts w:hint="eastAsia" w:ascii="仿宋" w:hAnsi="仿宋" w:eastAsia="仿宋" w:cs="仿宋_GB2312"/>
          <w:sz w:val="32"/>
          <w:szCs w:val="32"/>
          <w:lang w:val="en-US" w:eastAsia="zh-CN"/>
        </w:rPr>
        <w:t>749.6545</w:t>
      </w:r>
      <w:r>
        <w:rPr>
          <w:rFonts w:hint="eastAsia" w:ascii="仿宋" w:hAnsi="仿宋" w:eastAsia="仿宋" w:cs="仿宋_GB2312"/>
          <w:sz w:val="32"/>
          <w:szCs w:val="32"/>
        </w:rPr>
        <w:t>万元，</w:t>
      </w:r>
      <w:r>
        <w:rPr>
          <w:rFonts w:hint="eastAsia" w:ascii="仿宋" w:hAnsi="仿宋" w:eastAsia="仿宋" w:cs="仿宋_GB2312"/>
          <w:sz w:val="32"/>
          <w:szCs w:val="32"/>
          <w:lang w:eastAsia="zh-CN"/>
        </w:rPr>
        <w:t>增加</w:t>
      </w:r>
      <w:r>
        <w:rPr>
          <w:rFonts w:hint="eastAsia" w:ascii="仿宋" w:hAnsi="仿宋" w:eastAsia="仿宋" w:cs="仿宋_GB2312"/>
          <w:sz w:val="32"/>
          <w:szCs w:val="32"/>
          <w:lang w:val="en-US" w:eastAsia="zh-CN"/>
        </w:rPr>
        <w:t>14.91</w:t>
      </w:r>
      <w:r>
        <w:rPr>
          <w:rFonts w:hint="eastAsia" w:ascii="仿宋" w:hAnsi="仿宋" w:eastAsia="仿宋" w:cs="仿宋_GB2312"/>
          <w:sz w:val="32"/>
          <w:szCs w:val="32"/>
        </w:rPr>
        <w:t>%。主要原因：</w:t>
      </w:r>
      <w:r>
        <w:rPr>
          <w:rFonts w:hint="eastAsia" w:ascii="仿宋" w:hAnsi="仿宋" w:eastAsia="仿宋" w:cs="仿宋_GB2312"/>
          <w:sz w:val="32"/>
          <w:szCs w:val="32"/>
          <w:lang w:eastAsia="zh-CN"/>
        </w:rPr>
        <w:t>今年困难群众救助上级拨款增加。</w:t>
      </w:r>
    </w:p>
    <w:p>
      <w:pPr>
        <w:spacing w:line="360" w:lineRule="auto"/>
        <w:ind w:left="420" w:leftChars="200"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二、收入预算总体情况说明</w:t>
      </w:r>
    </w:p>
    <w:p>
      <w:pPr>
        <w:widowControl/>
        <w:shd w:val="clear" w:color="auto" w:fill="FFFFFF"/>
        <w:spacing w:line="360" w:lineRule="auto"/>
        <w:ind w:left="420" w:leftChars="200" w:firstLine="640" w:firstLineChars="200"/>
        <w:jc w:val="left"/>
        <w:rPr>
          <w:rFonts w:ascii="仿宋" w:hAnsi="仿宋" w:eastAsia="仿宋" w:cs="仿宋_GB2312"/>
          <w:sz w:val="32"/>
          <w:szCs w:val="32"/>
        </w:rPr>
      </w:pPr>
      <w:r>
        <w:rPr>
          <w:rFonts w:hint="eastAsia" w:ascii="仿宋" w:hAnsi="仿宋" w:eastAsia="仿宋" w:cs="仿宋_GB2312"/>
          <w:sz w:val="32"/>
          <w:szCs w:val="32"/>
        </w:rPr>
        <w:t>温县民政局2018年收入合计 5778.32万元，其中：一般公共预算合计5778.32万元，本级财力3919.32万元，非税收入10万元，上级转移支付收入1849万元</w:t>
      </w:r>
      <w:r>
        <w:rPr>
          <w:rFonts w:hint="eastAsia" w:ascii="仿宋" w:hAnsi="仿宋" w:eastAsia="仿宋" w:cs="仿宋_GB2312"/>
          <w:sz w:val="32"/>
          <w:szCs w:val="32"/>
          <w:lang w:val="en-US" w:eastAsia="zh-CN"/>
        </w:rPr>
        <w:t>,其他收入0万元</w:t>
      </w:r>
      <w:r>
        <w:rPr>
          <w:rFonts w:hint="eastAsia" w:ascii="仿宋" w:hAnsi="仿宋" w:eastAsia="仿宋" w:cs="仿宋_GB2312"/>
          <w:sz w:val="32"/>
          <w:szCs w:val="32"/>
        </w:rPr>
        <w:t>。</w:t>
      </w:r>
    </w:p>
    <w:p>
      <w:pPr>
        <w:spacing w:line="360" w:lineRule="auto"/>
        <w:ind w:left="420" w:leftChars="200"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三、支出预算总体情况说明</w:t>
      </w:r>
    </w:p>
    <w:p>
      <w:pPr>
        <w:spacing w:line="360" w:lineRule="auto"/>
        <w:ind w:left="420" w:leftChars="200" w:firstLine="640" w:firstLineChars="200"/>
        <w:rPr>
          <w:rFonts w:hint="eastAsia" w:ascii="仿宋" w:hAnsi="仿宋" w:eastAsia="仿宋" w:cs="仿宋_GB2312"/>
          <w:sz w:val="32"/>
          <w:szCs w:val="32"/>
        </w:rPr>
      </w:pPr>
      <w:r>
        <w:rPr>
          <w:rFonts w:hint="eastAsia" w:ascii="仿宋" w:hAnsi="仿宋" w:eastAsia="仿宋" w:cs="仿宋_GB2312"/>
          <w:sz w:val="32"/>
          <w:szCs w:val="32"/>
        </w:rPr>
        <w:t>温县民政局2018年支出合计5778.32万元，其中：基本支出176.48万元，占比为3.05%；项目支出5601.84万元，占比为 96.95%。</w:t>
      </w:r>
    </w:p>
    <w:p>
      <w:pPr>
        <w:pStyle w:val="4"/>
        <w:spacing w:line="600" w:lineRule="atLeast"/>
        <w:ind w:firstLine="640"/>
        <w:rPr>
          <w:rFonts w:ascii="黑体" w:hAnsi="黑体" w:eastAsia="黑体"/>
          <w:sz w:val="32"/>
          <w:szCs w:val="32"/>
        </w:rPr>
      </w:pPr>
      <w:r>
        <w:rPr>
          <w:rFonts w:hint="eastAsia" w:ascii="黑体" w:hAnsi="黑体" w:eastAsia="黑体"/>
          <w:sz w:val="32"/>
          <w:szCs w:val="32"/>
        </w:rPr>
        <w:t>四、财政拨款收入支出预算总体情况说明</w:t>
      </w:r>
    </w:p>
    <w:p>
      <w:pPr>
        <w:pStyle w:val="4"/>
        <w:spacing w:line="600" w:lineRule="atLeast"/>
        <w:ind w:firstLine="640"/>
        <w:rPr>
          <w:rFonts w:hint="eastAsia" w:ascii="仿宋_GB2312" w:eastAsia="仿宋_GB2312"/>
          <w:sz w:val="32"/>
          <w:szCs w:val="32"/>
        </w:rPr>
      </w:pPr>
      <w:r>
        <w:rPr>
          <w:rFonts w:hint="eastAsia" w:ascii="仿宋_GB2312" w:eastAsia="仿宋_GB2312"/>
          <w:sz w:val="32"/>
          <w:szCs w:val="32"/>
          <w:lang w:eastAsia="zh-CN"/>
        </w:rPr>
        <w:t>温县民政局</w:t>
      </w:r>
      <w:r>
        <w:rPr>
          <w:rFonts w:hint="eastAsia" w:ascii="仿宋_GB2312" w:eastAsia="仿宋_GB2312"/>
          <w:sz w:val="32"/>
          <w:szCs w:val="32"/>
        </w:rPr>
        <w:t>2018年一般公共预算收支预算</w:t>
      </w:r>
      <w:r>
        <w:rPr>
          <w:rFonts w:hint="eastAsia" w:ascii="仿宋_GB2312" w:eastAsia="仿宋_GB2312"/>
          <w:sz w:val="32"/>
          <w:szCs w:val="32"/>
          <w:lang w:val="en-US" w:eastAsia="zh-CN"/>
        </w:rPr>
        <w:t>5778.32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政府性基金收支预算</w:t>
      </w:r>
      <w:r>
        <w:rPr>
          <w:rFonts w:hint="eastAsia" w:ascii="仿宋_GB2312" w:eastAsia="仿宋_GB2312"/>
          <w:sz w:val="32"/>
          <w:szCs w:val="32"/>
          <w:lang w:val="en-US" w:eastAsia="zh-CN"/>
        </w:rPr>
        <w:t>0</w:t>
      </w:r>
      <w:r>
        <w:rPr>
          <w:rFonts w:hint="eastAsia" w:ascii="仿宋_GB2312" w:eastAsia="仿宋_GB2312"/>
          <w:sz w:val="32"/>
          <w:szCs w:val="32"/>
        </w:rPr>
        <w:t>万元，与 2017年相比，一般公共预算收支预算</w:t>
      </w:r>
      <w:r>
        <w:rPr>
          <w:rFonts w:hint="eastAsia" w:ascii="仿宋_GB2312" w:eastAsia="仿宋_GB2312"/>
          <w:sz w:val="32"/>
          <w:szCs w:val="32"/>
          <w:lang w:eastAsia="zh-CN"/>
        </w:rPr>
        <w:t>增加</w:t>
      </w:r>
      <w:r>
        <w:rPr>
          <w:rFonts w:hint="eastAsia" w:ascii="仿宋_GB2312" w:eastAsia="仿宋_GB2312"/>
          <w:sz w:val="32"/>
          <w:szCs w:val="32"/>
          <w:lang w:val="en-US" w:eastAsia="zh-CN"/>
        </w:rPr>
        <w:t>749.6545</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14.91</w:t>
      </w:r>
      <w:r>
        <w:rPr>
          <w:rFonts w:hint="eastAsia" w:ascii="仿宋_GB2312" w:eastAsia="仿宋_GB2312"/>
          <w:sz w:val="32"/>
          <w:szCs w:val="32"/>
        </w:rPr>
        <w:t>%，主要原因：</w:t>
      </w:r>
      <w:r>
        <w:rPr>
          <w:rFonts w:hint="eastAsia" w:ascii="仿宋_GB2312" w:eastAsia="仿宋_GB2312"/>
          <w:sz w:val="32"/>
          <w:szCs w:val="32"/>
          <w:lang w:eastAsia="zh-CN"/>
        </w:rPr>
        <w:t>上级转移支付资金增加。</w:t>
      </w:r>
    </w:p>
    <w:p>
      <w:pPr>
        <w:pStyle w:val="4"/>
        <w:spacing w:line="600" w:lineRule="atLeast"/>
        <w:ind w:firstLine="640"/>
        <w:rPr>
          <w:rFonts w:hint="eastAsia" w:ascii="黑体" w:hAnsi="黑体" w:eastAsia="黑体"/>
          <w:sz w:val="32"/>
          <w:szCs w:val="32"/>
        </w:rPr>
      </w:pPr>
      <w:r>
        <w:rPr>
          <w:rFonts w:hint="eastAsia" w:ascii="黑体" w:hAnsi="黑体" w:eastAsia="黑体"/>
          <w:sz w:val="32"/>
          <w:szCs w:val="32"/>
        </w:rPr>
        <w:t>五、一般公共预算支出预算情况说明</w:t>
      </w:r>
    </w:p>
    <w:p>
      <w:pPr>
        <w:pStyle w:val="4"/>
        <w:spacing w:line="600" w:lineRule="atLeast"/>
        <w:ind w:firstLine="640"/>
        <w:rPr>
          <w:rFonts w:hint="eastAsia" w:ascii="仿宋_GB2312" w:eastAsia="仿宋_GB2312"/>
          <w:sz w:val="32"/>
          <w:szCs w:val="32"/>
        </w:rPr>
      </w:pPr>
      <w:r>
        <w:rPr>
          <w:rFonts w:hint="eastAsia" w:ascii="仿宋_GB2312" w:eastAsia="仿宋_GB2312"/>
          <w:sz w:val="32"/>
          <w:szCs w:val="32"/>
          <w:lang w:eastAsia="zh-CN"/>
        </w:rPr>
        <w:t>温县民政局</w:t>
      </w:r>
      <w:r>
        <w:rPr>
          <w:rFonts w:hint="eastAsia" w:ascii="仿宋_GB2312" w:eastAsia="仿宋_GB2312"/>
          <w:sz w:val="32"/>
          <w:szCs w:val="32"/>
        </w:rPr>
        <w:t>2018年一般公共预算支出年初预算为</w:t>
      </w:r>
      <w:r>
        <w:rPr>
          <w:rFonts w:hint="eastAsia" w:ascii="仿宋_GB2312" w:eastAsia="仿宋_GB2312"/>
          <w:sz w:val="32"/>
          <w:szCs w:val="32"/>
          <w:lang w:val="en-US" w:eastAsia="zh-CN"/>
        </w:rPr>
        <w:t>5778.32</w:t>
      </w:r>
      <w:r>
        <w:rPr>
          <w:rFonts w:hint="eastAsia" w:ascii="仿宋_GB2312" w:eastAsia="仿宋_GB2312"/>
          <w:sz w:val="32"/>
          <w:szCs w:val="32"/>
        </w:rPr>
        <w:t>万元。主要用于以下方面：社会保障和就业支出</w:t>
      </w:r>
      <w:r>
        <w:rPr>
          <w:rFonts w:hint="eastAsia" w:ascii="仿宋_GB2312" w:eastAsia="仿宋_GB2312"/>
          <w:sz w:val="32"/>
          <w:szCs w:val="32"/>
          <w:lang w:val="en-US" w:eastAsia="zh-CN"/>
        </w:rPr>
        <w:t>5769.06</w:t>
      </w:r>
      <w:r>
        <w:rPr>
          <w:rFonts w:hint="eastAsia" w:ascii="仿宋_GB2312" w:eastAsia="仿宋_GB2312"/>
          <w:sz w:val="32"/>
          <w:szCs w:val="32"/>
        </w:rPr>
        <w:t>万元，占</w:t>
      </w:r>
      <w:r>
        <w:rPr>
          <w:rFonts w:hint="eastAsia" w:ascii="仿宋_GB2312" w:eastAsia="仿宋_GB2312"/>
          <w:sz w:val="32"/>
          <w:szCs w:val="32"/>
          <w:lang w:val="en-US" w:eastAsia="zh-CN"/>
        </w:rPr>
        <w:t>99.84</w:t>
      </w:r>
      <w:r>
        <w:rPr>
          <w:rFonts w:hint="eastAsia" w:ascii="仿宋_GB2312" w:eastAsia="仿宋_GB2312"/>
          <w:sz w:val="32"/>
          <w:szCs w:val="32"/>
        </w:rPr>
        <w:t>%；医疗卫生与计划生育支出</w:t>
      </w:r>
      <w:r>
        <w:rPr>
          <w:rFonts w:hint="eastAsia" w:ascii="仿宋_GB2312" w:eastAsia="仿宋_GB2312"/>
          <w:sz w:val="32"/>
          <w:szCs w:val="32"/>
          <w:lang w:val="en-US" w:eastAsia="zh-CN"/>
        </w:rPr>
        <w:t>9.26</w:t>
      </w:r>
      <w:r>
        <w:rPr>
          <w:rFonts w:hint="eastAsia" w:ascii="仿宋_GB2312" w:eastAsia="仿宋_GB2312"/>
          <w:sz w:val="32"/>
          <w:szCs w:val="32"/>
        </w:rPr>
        <w:t>万元，占</w:t>
      </w:r>
      <w:r>
        <w:rPr>
          <w:rFonts w:hint="eastAsia" w:ascii="仿宋_GB2312" w:eastAsia="仿宋_GB2312"/>
          <w:sz w:val="32"/>
          <w:szCs w:val="32"/>
          <w:lang w:val="en-US" w:eastAsia="zh-CN"/>
        </w:rPr>
        <w:t>0.16</w:t>
      </w:r>
      <w:r>
        <w:rPr>
          <w:rFonts w:hint="eastAsia" w:ascii="仿宋_GB2312" w:eastAsia="仿宋_GB2312"/>
          <w:sz w:val="32"/>
          <w:szCs w:val="32"/>
        </w:rPr>
        <w:t>%；</w:t>
      </w:r>
    </w:p>
    <w:p>
      <w:pPr>
        <w:pStyle w:val="4"/>
        <w:spacing w:line="600" w:lineRule="atLeast"/>
        <w:ind w:firstLine="640"/>
        <w:rPr>
          <w:rFonts w:hint="eastAsia" w:ascii="黑体" w:hAnsi="黑体" w:eastAsia="黑体"/>
          <w:sz w:val="32"/>
          <w:szCs w:val="32"/>
        </w:rPr>
      </w:pPr>
      <w:r>
        <w:rPr>
          <w:rFonts w:hint="eastAsia" w:ascii="黑体" w:hAnsi="黑体" w:eastAsia="黑体"/>
          <w:sz w:val="32"/>
          <w:szCs w:val="32"/>
        </w:rPr>
        <w:t>六、一般公共预算基本支出预算情况说明</w:t>
      </w:r>
    </w:p>
    <w:p>
      <w:pPr>
        <w:pStyle w:val="4"/>
        <w:spacing w:line="600" w:lineRule="atLeast"/>
        <w:ind w:firstLine="640"/>
        <w:rPr>
          <w:rFonts w:hint="eastAsia" w:ascii="仿宋" w:hAnsi="仿宋" w:eastAsia="仿宋" w:cs="仿宋_GB2312"/>
          <w:sz w:val="32"/>
          <w:szCs w:val="32"/>
        </w:rPr>
      </w:pPr>
      <w:r>
        <w:rPr>
          <w:rFonts w:hint="eastAsia" w:ascii="仿宋_GB2312" w:eastAsia="仿宋_GB2312"/>
          <w:sz w:val="32"/>
          <w:szCs w:val="32"/>
          <w:lang w:eastAsia="zh-CN"/>
        </w:rPr>
        <w:t>温县民政局</w:t>
      </w:r>
      <w:r>
        <w:rPr>
          <w:rFonts w:hint="eastAsia" w:ascii="仿宋_GB2312" w:eastAsia="仿宋_GB2312"/>
          <w:sz w:val="32"/>
          <w:szCs w:val="32"/>
        </w:rPr>
        <w:t>2018年一般公共预算基本支出</w:t>
      </w:r>
      <w:r>
        <w:rPr>
          <w:rFonts w:hint="eastAsia" w:ascii="仿宋_GB2312" w:eastAsia="仿宋_GB2312"/>
          <w:sz w:val="32"/>
          <w:szCs w:val="32"/>
          <w:lang w:val="en-US" w:eastAsia="zh-CN"/>
        </w:rPr>
        <w:t>176.48</w:t>
      </w:r>
      <w:r>
        <w:rPr>
          <w:rFonts w:hint="eastAsia" w:ascii="仿宋_GB2312" w:eastAsia="仿宋_GB2312"/>
          <w:sz w:val="32"/>
          <w:szCs w:val="32"/>
        </w:rPr>
        <w:t>万元，其中：人员经费</w:t>
      </w:r>
      <w:r>
        <w:rPr>
          <w:rFonts w:hint="eastAsia" w:ascii="仿宋_GB2312" w:eastAsia="仿宋_GB2312"/>
          <w:sz w:val="32"/>
          <w:szCs w:val="32"/>
          <w:lang w:val="en-US" w:eastAsia="zh-CN"/>
        </w:rPr>
        <w:t>166.22</w:t>
      </w:r>
      <w:r>
        <w:rPr>
          <w:rFonts w:hint="eastAsia" w:ascii="仿宋_GB2312" w:eastAsia="仿宋_GB2312"/>
          <w:sz w:val="32"/>
          <w:szCs w:val="32"/>
        </w:rPr>
        <w:t>万元，</w:t>
      </w:r>
      <w:r>
        <w:rPr>
          <w:rFonts w:hint="eastAsia" w:ascii="仿宋_GB2312" w:eastAsia="仿宋_GB2312"/>
          <w:sz w:val="32"/>
          <w:szCs w:val="32"/>
          <w:lang w:eastAsia="zh-CN"/>
        </w:rPr>
        <w:t>主要包括：</w:t>
      </w:r>
      <w:r>
        <w:rPr>
          <w:rFonts w:hint="eastAsia" w:ascii="仿宋_GB2312" w:eastAsia="仿宋_GB2312"/>
          <w:sz w:val="32"/>
          <w:szCs w:val="32"/>
        </w:rPr>
        <w:t>基本工资、津贴补贴、绩效工资、机关事业单位基本养老保险缴费、医疗保险缴费、其他社会保障缴费；公用经费</w:t>
      </w:r>
      <w:r>
        <w:rPr>
          <w:rFonts w:hint="eastAsia" w:ascii="仿宋_GB2312" w:eastAsia="仿宋_GB2312"/>
          <w:sz w:val="32"/>
          <w:szCs w:val="32"/>
          <w:lang w:val="en-US" w:eastAsia="zh-CN"/>
        </w:rPr>
        <w:t>10.26</w:t>
      </w:r>
      <w:r>
        <w:rPr>
          <w:rFonts w:hint="eastAsia" w:ascii="仿宋_GB2312" w:eastAsia="仿宋_GB2312"/>
          <w:sz w:val="32"/>
          <w:szCs w:val="32"/>
        </w:rPr>
        <w:t>万元，主要包括：办公费、印刷费、公务用车运行维护费、其他交通费用</w:t>
      </w:r>
      <w:r>
        <w:rPr>
          <w:rFonts w:hint="eastAsia" w:ascii="仿宋_GB2312" w:eastAsia="仿宋_GB2312"/>
          <w:sz w:val="32"/>
          <w:szCs w:val="32"/>
          <w:lang w:eastAsia="zh-CN"/>
        </w:rPr>
        <w:t>。</w:t>
      </w:r>
    </w:p>
    <w:p>
      <w:pPr>
        <w:spacing w:line="360" w:lineRule="auto"/>
        <w:outlineLvl w:val="0"/>
        <w:rPr>
          <w:rFonts w:hint="eastAsia" w:ascii="黑体" w:hAnsi="黑体" w:eastAsia="黑体" w:cs="黑体"/>
          <w:sz w:val="32"/>
          <w:szCs w:val="32"/>
        </w:rPr>
      </w:pPr>
      <w:r>
        <w:rPr>
          <w:rFonts w:hint="eastAsia" w:ascii="黑体" w:hAnsi="黑体" w:eastAsia="黑体" w:cs="黑体"/>
          <w:sz w:val="32"/>
          <w:szCs w:val="32"/>
          <w:lang w:val="en-US" w:eastAsia="zh-CN"/>
        </w:rPr>
        <w:t xml:space="preserve">    七</w:t>
      </w:r>
      <w:r>
        <w:rPr>
          <w:rFonts w:hint="eastAsia" w:ascii="黑体" w:hAnsi="黑体" w:eastAsia="黑体" w:cs="黑体"/>
          <w:kern w:val="0"/>
          <w:sz w:val="32"/>
          <w:szCs w:val="32"/>
        </w:rPr>
        <w:t>、“三公”经费支出预算情况说明</w:t>
      </w:r>
    </w:p>
    <w:p>
      <w:pPr>
        <w:spacing w:line="360" w:lineRule="auto"/>
        <w:ind w:left="420" w:leftChars="200" w:firstLine="640" w:firstLineChars="200"/>
        <w:rPr>
          <w:rFonts w:ascii="仿宋" w:hAnsi="仿宋" w:eastAsia="仿宋" w:cs="仿宋_GB2312"/>
          <w:sz w:val="32"/>
          <w:szCs w:val="32"/>
        </w:rPr>
      </w:pPr>
      <w:r>
        <w:rPr>
          <w:rFonts w:hint="eastAsia" w:ascii="仿宋" w:hAnsi="仿宋" w:eastAsia="仿宋" w:cs="仿宋_GB2312"/>
          <w:sz w:val="32"/>
          <w:szCs w:val="32"/>
        </w:rPr>
        <w:t>温县民政局2018 年“三公”经费预算为17.38万元。2018年“三公”经费支出预算数比 2017年预算数减少3.62万元。</w:t>
      </w:r>
    </w:p>
    <w:p>
      <w:pPr>
        <w:kinsoku w:val="0"/>
        <w:overflowPunct w:val="0"/>
        <w:autoSpaceDE w:val="0"/>
        <w:autoSpaceDN w:val="0"/>
        <w:adjustRightInd w:val="0"/>
        <w:snapToGrid w:val="0"/>
        <w:spacing w:line="360" w:lineRule="auto"/>
        <w:ind w:left="420" w:leftChars="200" w:firstLine="640" w:firstLineChars="200"/>
        <w:rPr>
          <w:rFonts w:ascii="仿宋" w:hAnsi="仿宋" w:eastAsia="仿宋" w:cs="仿宋_GB2312"/>
          <w:sz w:val="32"/>
          <w:szCs w:val="32"/>
        </w:rPr>
      </w:pPr>
      <w:r>
        <w:rPr>
          <w:rFonts w:hint="eastAsia" w:ascii="仿宋" w:hAnsi="仿宋" w:eastAsia="仿宋" w:cs="仿宋_GB2312"/>
          <w:sz w:val="32"/>
          <w:szCs w:val="32"/>
        </w:rPr>
        <w:t>具体支出情况如下：</w:t>
      </w:r>
    </w:p>
    <w:p>
      <w:pPr>
        <w:numPr>
          <w:ilvl w:val="0"/>
          <w:numId w:val="5"/>
        </w:numPr>
        <w:kinsoku w:val="0"/>
        <w:overflowPunct w:val="0"/>
        <w:autoSpaceDE w:val="0"/>
        <w:autoSpaceDN w:val="0"/>
        <w:adjustRightInd w:val="0"/>
        <w:snapToGrid w:val="0"/>
        <w:spacing w:line="360" w:lineRule="auto"/>
        <w:ind w:left="420" w:leftChars="200" w:firstLine="639" w:firstLineChars="200"/>
        <w:outlineLvl w:val="0"/>
        <w:rPr>
          <w:rFonts w:hint="eastAsia" w:ascii="仿宋" w:hAnsi="仿宋" w:eastAsia="仿宋" w:cs="仿宋_GB2312"/>
          <w:sz w:val="32"/>
          <w:szCs w:val="32"/>
        </w:rPr>
      </w:pPr>
      <w:r>
        <w:rPr>
          <w:rFonts w:hint="eastAsia" w:ascii="仿宋" w:hAnsi="仿宋" w:eastAsia="仿宋" w:cs="仿宋_GB2312"/>
          <w:b/>
          <w:spacing w:val="-1"/>
          <w:kern w:val="0"/>
          <w:sz w:val="32"/>
          <w:szCs w:val="32"/>
        </w:rPr>
        <w:t>公务用车购置及运行费</w:t>
      </w:r>
      <w:r>
        <w:rPr>
          <w:rFonts w:hint="eastAsia" w:ascii="仿宋" w:hAnsi="仿宋" w:eastAsia="仿宋" w:cs="仿宋_GB2312"/>
          <w:sz w:val="32"/>
          <w:szCs w:val="32"/>
        </w:rPr>
        <w:t>12.88</w:t>
      </w:r>
      <w:r>
        <w:rPr>
          <w:rFonts w:hint="eastAsia" w:ascii="仿宋" w:hAnsi="仿宋" w:eastAsia="仿宋" w:cs="仿宋_GB2312"/>
          <w:kern w:val="0"/>
          <w:sz w:val="32"/>
          <w:szCs w:val="32"/>
        </w:rPr>
        <w:t>万</w:t>
      </w:r>
      <w:r>
        <w:rPr>
          <w:rFonts w:hint="eastAsia" w:ascii="仿宋" w:hAnsi="仿宋" w:eastAsia="仿宋" w:cs="仿宋_GB2312"/>
          <w:sz w:val="32"/>
          <w:szCs w:val="32"/>
        </w:rPr>
        <w:t>元。其中</w:t>
      </w:r>
      <w:r>
        <w:rPr>
          <w:rFonts w:hint="eastAsia" w:ascii="仿宋_GB2312" w:hAnsi="仿宋_GB2312" w:eastAsia="仿宋_GB2312" w:cs="仿宋_GB2312"/>
          <w:sz w:val="32"/>
          <w:szCs w:val="32"/>
          <w:lang w:eastAsia="zh-CN"/>
        </w:rPr>
        <w:t>公务车辆购置费</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color w:val="auto"/>
          <w:sz w:val="32"/>
          <w:szCs w:val="32"/>
          <w:lang w:val="en-US" w:eastAsia="zh-CN"/>
        </w:rPr>
        <w:t>与2017年预算数持平，增长0%。</w:t>
      </w:r>
      <w:r>
        <w:rPr>
          <w:rFonts w:hint="eastAsia" w:ascii="仿宋" w:hAnsi="仿宋" w:eastAsia="仿宋" w:cs="仿宋_GB2312"/>
          <w:sz w:val="32"/>
          <w:szCs w:val="32"/>
        </w:rPr>
        <w:t>公车运行维护费12.88万元，主要用于单位所需公务用车的燃料费、维修费、过路过桥费、保险费等支出。预算数比2017年减少1.12万元，</w:t>
      </w:r>
      <w:r>
        <w:rPr>
          <w:rFonts w:hint="eastAsia" w:ascii="仿宋" w:hAnsi="仿宋" w:eastAsia="仿宋" w:cs="仿宋_GB2312"/>
          <w:sz w:val="32"/>
          <w:szCs w:val="32"/>
          <w:lang w:eastAsia="zh-CN"/>
        </w:rPr>
        <w:t>降低</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主要原因：我单位认真贯彻落实中央八项规定精神，坚持厉行勤俭节约，强化公车用车运行管理，严格控制"三公"经费支出。</w:t>
      </w:r>
    </w:p>
    <w:p>
      <w:pPr>
        <w:numPr>
          <w:ilvl w:val="0"/>
          <w:numId w:val="6"/>
        </w:numPr>
        <w:kinsoku w:val="0"/>
        <w:overflowPunct w:val="0"/>
        <w:autoSpaceDE w:val="0"/>
        <w:autoSpaceDN w:val="0"/>
        <w:adjustRightInd w:val="0"/>
        <w:snapToGrid w:val="0"/>
        <w:spacing w:line="360" w:lineRule="auto"/>
        <w:ind w:left="420" w:leftChars="200" w:firstLine="639" w:firstLineChars="200"/>
        <w:outlineLvl w:val="0"/>
        <w:rPr>
          <w:rFonts w:hint="eastAsia" w:ascii="仿宋" w:hAnsi="仿宋" w:eastAsia="仿宋" w:cs="仿宋_GB2312"/>
          <w:sz w:val="32"/>
          <w:szCs w:val="32"/>
        </w:rPr>
      </w:pPr>
      <w:r>
        <w:rPr>
          <w:rFonts w:hint="eastAsia" w:ascii="仿宋" w:hAnsi="仿宋" w:eastAsia="仿宋" w:cs="仿宋_GB2312"/>
          <w:b/>
          <w:spacing w:val="-1"/>
          <w:kern w:val="0"/>
          <w:sz w:val="32"/>
          <w:szCs w:val="32"/>
        </w:rPr>
        <w:t>公务接待费</w:t>
      </w:r>
      <w:r>
        <w:rPr>
          <w:rFonts w:hint="eastAsia" w:ascii="仿宋" w:hAnsi="仿宋" w:eastAsia="仿宋" w:cs="仿宋_GB2312"/>
          <w:sz w:val="32"/>
          <w:szCs w:val="32"/>
        </w:rPr>
        <w:t>4.5万元，主要用于按规定开支的各类公务接待支出。预算数比2017年减少2.5万元，</w:t>
      </w:r>
      <w:r>
        <w:rPr>
          <w:rFonts w:hint="eastAsia" w:ascii="仿宋" w:hAnsi="仿宋" w:eastAsia="仿宋" w:cs="仿宋_GB2312"/>
          <w:sz w:val="32"/>
          <w:szCs w:val="32"/>
          <w:lang w:eastAsia="zh-CN"/>
        </w:rPr>
        <w:t>降低</w:t>
      </w:r>
      <w:r>
        <w:rPr>
          <w:rFonts w:hint="eastAsia" w:ascii="仿宋" w:hAnsi="仿宋" w:eastAsia="仿宋" w:cs="仿宋_GB2312"/>
          <w:sz w:val="32"/>
          <w:szCs w:val="32"/>
          <w:lang w:val="en-US" w:eastAsia="zh-CN"/>
        </w:rPr>
        <w:t>35.71%，</w:t>
      </w:r>
      <w:r>
        <w:rPr>
          <w:rFonts w:hint="eastAsia" w:ascii="仿宋" w:hAnsi="仿宋" w:eastAsia="仿宋" w:cs="仿宋_GB2312"/>
          <w:sz w:val="32"/>
          <w:szCs w:val="32"/>
        </w:rPr>
        <w:t>主要原因：</w:t>
      </w:r>
      <w:bookmarkStart w:id="0" w:name="_GoBack"/>
      <w:bookmarkEnd w:id="0"/>
      <w:r>
        <w:rPr>
          <w:rFonts w:hint="eastAsia" w:ascii="仿宋" w:hAnsi="仿宋" w:eastAsia="仿宋" w:cs="仿宋_GB2312"/>
          <w:sz w:val="32"/>
          <w:szCs w:val="32"/>
        </w:rPr>
        <w:t>我单位认真贯彻落实中央八项规定精神，坚持厉行勤俭节约，进一步规范公务接待，严格控制"三公"经费支出。</w:t>
      </w:r>
    </w:p>
    <w:p>
      <w:pPr>
        <w:numPr>
          <w:ilvl w:val="0"/>
          <w:numId w:val="7"/>
        </w:numPr>
        <w:spacing w:line="360" w:lineRule="auto"/>
        <w:ind w:left="420" w:leftChars="200" w:firstLine="643" w:firstLineChars="200"/>
        <w:outlineLvl w:val="0"/>
        <w:rPr>
          <w:rFonts w:hint="eastAsia" w:ascii="仿宋" w:hAnsi="仿宋" w:eastAsia="仿宋" w:cs="仿宋_GB2312"/>
          <w:b w:val="0"/>
          <w:bCs w:val="0"/>
          <w:sz w:val="32"/>
          <w:szCs w:val="32"/>
          <w:lang w:val="en-US" w:eastAsia="zh-CN"/>
        </w:rPr>
      </w:pPr>
      <w:r>
        <w:rPr>
          <w:rFonts w:hint="eastAsia" w:ascii="仿宋" w:hAnsi="仿宋" w:eastAsia="仿宋" w:cs="仿宋_GB2312"/>
          <w:b/>
          <w:bCs/>
          <w:sz w:val="32"/>
          <w:szCs w:val="32"/>
          <w:lang w:val="en-US" w:eastAsia="zh-CN"/>
        </w:rPr>
        <w:t>因公出国经费</w:t>
      </w:r>
      <w:r>
        <w:rPr>
          <w:rFonts w:hint="eastAsia" w:ascii="仿宋" w:hAnsi="仿宋" w:eastAsia="仿宋" w:cs="仿宋_GB2312"/>
          <w:b w:val="0"/>
          <w:bCs w:val="0"/>
          <w:sz w:val="32"/>
          <w:szCs w:val="32"/>
          <w:lang w:val="en-US" w:eastAsia="zh-CN"/>
        </w:rPr>
        <w:t>0万元，与2017年预算数持平，增长0%。</w:t>
      </w:r>
    </w:p>
    <w:p>
      <w:pPr>
        <w:numPr>
          <w:numId w:val="0"/>
        </w:numPr>
        <w:spacing w:line="360" w:lineRule="auto"/>
        <w:ind w:leftChars="400" w:firstLine="320" w:firstLineChars="100"/>
        <w:outlineLvl w:val="0"/>
        <w:rPr>
          <w:rFonts w:hint="eastAsia" w:ascii="黑体" w:hAnsi="黑体" w:eastAsia="黑体" w:cs="黑体"/>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、政府性基金预算支出</w:t>
      </w:r>
      <w:r>
        <w:rPr>
          <w:rFonts w:hint="eastAsia" w:ascii="黑体" w:hAnsi="黑体" w:eastAsia="黑体" w:cs="黑体"/>
          <w:kern w:val="0"/>
          <w:sz w:val="32"/>
          <w:szCs w:val="32"/>
          <w:lang w:eastAsia="zh-CN"/>
        </w:rPr>
        <w:t>预算</w:t>
      </w:r>
      <w:r>
        <w:rPr>
          <w:rFonts w:hint="eastAsia" w:ascii="黑体" w:hAnsi="黑体" w:eastAsia="黑体" w:cs="黑体"/>
          <w:kern w:val="0"/>
          <w:sz w:val="32"/>
          <w:szCs w:val="32"/>
        </w:rPr>
        <w:t>情况说明</w:t>
      </w:r>
    </w:p>
    <w:p>
      <w:pPr>
        <w:spacing w:line="360" w:lineRule="auto"/>
        <w:ind w:left="420" w:leftChars="200"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我单位2018年没有使用政府性基金预算拨款安排的收支。</w:t>
      </w:r>
    </w:p>
    <w:p>
      <w:pPr>
        <w:spacing w:line="360" w:lineRule="auto"/>
        <w:ind w:left="420" w:leftChars="200" w:firstLine="640" w:firstLineChars="200"/>
        <w:rPr>
          <w:rFonts w:hint="eastAsia" w:ascii="黑体" w:hAnsi="黑体" w:eastAsia="黑体" w:cs="黑体"/>
          <w:color w:val="auto"/>
          <w:kern w:val="0"/>
          <w:sz w:val="32"/>
          <w:szCs w:val="32"/>
        </w:rPr>
      </w:pP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w:t>
      </w:r>
      <w:r>
        <w:rPr>
          <w:rFonts w:hint="eastAsia" w:ascii="黑体" w:hAnsi="黑体" w:eastAsia="黑体" w:cs="黑体"/>
          <w:color w:val="auto"/>
          <w:kern w:val="0"/>
          <w:sz w:val="32"/>
          <w:szCs w:val="32"/>
        </w:rPr>
        <w:t>国有资本经营预算支出</w:t>
      </w:r>
      <w:r>
        <w:rPr>
          <w:rFonts w:hint="eastAsia" w:ascii="黑体" w:hAnsi="黑体" w:eastAsia="黑体" w:cs="黑体"/>
          <w:kern w:val="0"/>
          <w:sz w:val="32"/>
          <w:szCs w:val="32"/>
          <w:lang w:eastAsia="zh-CN"/>
        </w:rPr>
        <w:t>预算</w:t>
      </w:r>
      <w:r>
        <w:rPr>
          <w:rFonts w:hint="eastAsia" w:ascii="黑体" w:hAnsi="黑体" w:eastAsia="黑体" w:cs="黑体"/>
          <w:color w:val="auto"/>
          <w:kern w:val="0"/>
          <w:sz w:val="32"/>
          <w:szCs w:val="32"/>
        </w:rPr>
        <w:t>情况说明</w:t>
      </w:r>
    </w:p>
    <w:p>
      <w:pPr>
        <w:spacing w:line="360" w:lineRule="auto"/>
        <w:ind w:left="420" w:leftChars="200" w:firstLine="640" w:firstLineChars="200"/>
        <w:rPr>
          <w:rFonts w:hint="eastAsia" w:ascii="黑体" w:hAnsi="黑体" w:eastAsia="黑体" w:cs="黑体"/>
          <w:color w:val="auto"/>
          <w:sz w:val="32"/>
          <w:szCs w:val="32"/>
        </w:rPr>
      </w:pPr>
      <w:r>
        <w:rPr>
          <w:rFonts w:hint="eastAsia" w:ascii="仿宋" w:hAnsi="仿宋" w:eastAsia="仿宋" w:cs="仿宋_GB2312"/>
          <w:color w:val="auto"/>
          <w:sz w:val="32"/>
          <w:szCs w:val="32"/>
        </w:rPr>
        <w:t>我单位2018年没有使用国有资本经营预算拨款安排的收支。</w:t>
      </w:r>
    </w:p>
    <w:p>
      <w:pPr>
        <w:spacing w:line="360" w:lineRule="auto"/>
        <w:ind w:left="420" w:leftChars="200"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十</w:t>
      </w:r>
      <w:r>
        <w:rPr>
          <w:rFonts w:hint="eastAsia" w:ascii="黑体" w:hAnsi="黑体" w:eastAsia="黑体" w:cs="黑体"/>
          <w:color w:val="auto"/>
          <w:sz w:val="32"/>
          <w:szCs w:val="32"/>
        </w:rPr>
        <w:t>、其他重要事项的情况说明</w:t>
      </w:r>
    </w:p>
    <w:p>
      <w:pPr>
        <w:kinsoku w:val="0"/>
        <w:overflowPunct w:val="0"/>
        <w:autoSpaceDE w:val="0"/>
        <w:autoSpaceDN w:val="0"/>
        <w:adjustRightInd w:val="0"/>
        <w:snapToGrid w:val="0"/>
        <w:spacing w:line="360" w:lineRule="auto"/>
        <w:outlineLvl w:val="0"/>
        <w:rPr>
          <w:rFonts w:ascii="仿宋" w:hAnsi="仿宋" w:eastAsia="仿宋" w:cs="楷体"/>
          <w:bCs/>
          <w:sz w:val="32"/>
          <w:szCs w:val="32"/>
        </w:rPr>
      </w:pPr>
      <w:r>
        <w:rPr>
          <w:rFonts w:hint="eastAsia" w:ascii="楷体" w:hAnsi="楷体" w:eastAsia="楷体" w:cs="楷体"/>
          <w:bCs/>
          <w:kern w:val="0"/>
          <w:sz w:val="32"/>
          <w:szCs w:val="32"/>
          <w:lang w:val="en-US" w:eastAsia="zh-CN"/>
        </w:rPr>
        <w:t xml:space="preserve">     </w:t>
      </w:r>
      <w:r>
        <w:rPr>
          <w:rFonts w:hint="eastAsia" w:ascii="楷体" w:hAnsi="楷体" w:eastAsia="楷体" w:cs="楷体"/>
          <w:bCs/>
          <w:kern w:val="0"/>
          <w:sz w:val="32"/>
          <w:szCs w:val="32"/>
        </w:rPr>
        <w:t>（一）机关运行经费情况</w:t>
      </w:r>
    </w:p>
    <w:p>
      <w:pPr>
        <w:kinsoku w:val="0"/>
        <w:overflowPunct w:val="0"/>
        <w:autoSpaceDE w:val="0"/>
        <w:autoSpaceDN w:val="0"/>
        <w:adjustRightInd w:val="0"/>
        <w:snapToGrid w:val="0"/>
        <w:spacing w:line="360" w:lineRule="auto"/>
        <w:ind w:left="420" w:leftChars="200" w:firstLine="640" w:firstLineChars="200"/>
        <w:rPr>
          <w:rFonts w:ascii="仿宋" w:hAnsi="仿宋" w:eastAsia="仿宋" w:cs="仿宋_GB2312"/>
          <w:sz w:val="32"/>
          <w:szCs w:val="32"/>
        </w:rPr>
      </w:pPr>
      <w:r>
        <w:rPr>
          <w:rFonts w:hint="eastAsia" w:ascii="仿宋" w:hAnsi="仿宋" w:eastAsia="仿宋" w:cs="仿宋_GB2312"/>
          <w:sz w:val="32"/>
          <w:szCs w:val="32"/>
        </w:rPr>
        <w:t>2018年机关运行经费预算 10.26万元，主要保障机关机构正常运转及正常履职需要的办公费、印刷费、公务用车运行维护费、其他交通费用等支出。</w:t>
      </w:r>
    </w:p>
    <w:p>
      <w:pPr>
        <w:kinsoku w:val="0"/>
        <w:overflowPunct w:val="0"/>
        <w:autoSpaceDE w:val="0"/>
        <w:autoSpaceDN w:val="0"/>
        <w:adjustRightInd w:val="0"/>
        <w:snapToGrid w:val="0"/>
        <w:spacing w:line="360" w:lineRule="auto"/>
        <w:outlineLvl w:val="0"/>
        <w:rPr>
          <w:rFonts w:hint="eastAsia" w:ascii="楷体" w:hAnsi="楷体" w:eastAsia="楷体" w:cs="楷体"/>
          <w:bCs/>
          <w:kern w:val="0"/>
          <w:sz w:val="32"/>
          <w:szCs w:val="32"/>
          <w:lang w:val="en-US" w:eastAsia="zh-CN"/>
        </w:rPr>
      </w:pPr>
      <w:r>
        <w:rPr>
          <w:rFonts w:hint="eastAsia" w:ascii="楷体" w:hAnsi="楷体" w:eastAsia="楷体" w:cs="楷体"/>
          <w:bCs/>
          <w:kern w:val="0"/>
          <w:sz w:val="32"/>
          <w:szCs w:val="32"/>
          <w:lang w:val="en-US" w:eastAsia="zh-CN"/>
        </w:rPr>
        <w:t xml:space="preserve">     （二）政府采购支出情况</w:t>
      </w:r>
    </w:p>
    <w:p>
      <w:pPr>
        <w:kinsoku w:val="0"/>
        <w:overflowPunct w:val="0"/>
        <w:autoSpaceDE w:val="0"/>
        <w:autoSpaceDN w:val="0"/>
        <w:adjustRightInd w:val="0"/>
        <w:snapToGrid w:val="0"/>
        <w:spacing w:line="360" w:lineRule="auto"/>
        <w:ind w:left="420" w:leftChars="200" w:firstLine="640" w:firstLineChars="200"/>
        <w:rPr>
          <w:rFonts w:ascii="仿宋" w:hAnsi="仿宋" w:eastAsia="仿宋" w:cs="仿宋_GB2312"/>
          <w:sz w:val="32"/>
          <w:szCs w:val="32"/>
        </w:rPr>
      </w:pPr>
      <w:r>
        <w:rPr>
          <w:rFonts w:hint="eastAsia" w:ascii="仿宋" w:hAnsi="仿宋" w:eastAsia="仿宋" w:cs="仿宋_GB2312"/>
          <w:sz w:val="32"/>
          <w:szCs w:val="32"/>
        </w:rPr>
        <w:t>2018年政府采购预算安排5万元，其中：办公设备购置5万元。</w:t>
      </w:r>
    </w:p>
    <w:p>
      <w:pPr>
        <w:kinsoku w:val="0"/>
        <w:overflowPunct w:val="0"/>
        <w:autoSpaceDE w:val="0"/>
        <w:autoSpaceDN w:val="0"/>
        <w:adjustRightInd w:val="0"/>
        <w:snapToGrid w:val="0"/>
        <w:spacing w:line="360" w:lineRule="auto"/>
        <w:outlineLvl w:val="0"/>
        <w:rPr>
          <w:rFonts w:hint="eastAsia" w:ascii="楷体" w:hAnsi="楷体" w:eastAsia="楷体" w:cs="楷体"/>
          <w:bCs/>
          <w:kern w:val="0"/>
          <w:sz w:val="32"/>
          <w:szCs w:val="32"/>
          <w:lang w:val="en-US" w:eastAsia="zh-CN"/>
        </w:rPr>
      </w:pPr>
      <w:r>
        <w:rPr>
          <w:rFonts w:hint="eastAsia" w:ascii="楷体" w:hAnsi="楷体" w:eastAsia="楷体" w:cs="楷体"/>
          <w:bCs/>
          <w:kern w:val="0"/>
          <w:sz w:val="32"/>
          <w:szCs w:val="32"/>
          <w:lang w:val="en-US" w:eastAsia="zh-CN"/>
        </w:rPr>
        <w:t xml:space="preserve">     （三）关于预算绩效管理工作开展情况说明</w:t>
      </w:r>
    </w:p>
    <w:p>
      <w:pPr>
        <w:spacing w:line="360" w:lineRule="auto"/>
        <w:ind w:left="420" w:leftChars="200" w:firstLine="640" w:firstLineChars="200"/>
        <w:rPr>
          <w:rFonts w:ascii="仿宋" w:hAnsi="仿宋" w:eastAsia="仿宋" w:cs="仿宋_GB2312"/>
          <w:sz w:val="32"/>
          <w:szCs w:val="32"/>
        </w:rPr>
      </w:pPr>
      <w:r>
        <w:rPr>
          <w:rFonts w:hint="eastAsia" w:ascii="仿宋" w:hAnsi="仿宋" w:eastAsia="仿宋" w:cs="仿宋_GB2312"/>
          <w:sz w:val="32"/>
          <w:szCs w:val="32"/>
        </w:rPr>
        <w:t>2017年,我单位对3个项目进行了预算绩效评价，涉及资金440万元。</w:t>
      </w:r>
      <w:r>
        <w:rPr>
          <w:rFonts w:hint="eastAsia" w:ascii="仿宋" w:hAnsi="仿宋" w:eastAsia="仿宋"/>
          <w:sz w:val="32"/>
          <w:szCs w:val="32"/>
        </w:rPr>
        <w:t xml:space="preserve"> </w:t>
      </w:r>
      <w:r>
        <w:rPr>
          <w:rFonts w:hint="eastAsia" w:ascii="仿宋" w:hAnsi="仿宋" w:eastAsia="仿宋" w:cs="仿宋_GB2312"/>
          <w:sz w:val="32"/>
          <w:szCs w:val="32"/>
        </w:rPr>
        <w:t>2018年，我单位部门预算纳入绩效管理的支出总额为</w:t>
      </w:r>
      <w:r>
        <w:rPr>
          <w:rFonts w:hint="eastAsia" w:ascii="仿宋" w:hAnsi="仿宋" w:eastAsia="仿宋" w:cs="仿宋_GB2312"/>
          <w:sz w:val="32"/>
          <w:szCs w:val="32"/>
          <w:lang w:val="en-US" w:eastAsia="zh-CN"/>
        </w:rPr>
        <w:t>5778.32</w:t>
      </w:r>
      <w:r>
        <w:rPr>
          <w:rFonts w:hint="eastAsia" w:ascii="仿宋" w:hAnsi="仿宋" w:eastAsia="仿宋" w:cs="仿宋_GB2312"/>
          <w:sz w:val="32"/>
          <w:szCs w:val="32"/>
        </w:rPr>
        <w:t>万元，</w:t>
      </w:r>
      <w:r>
        <w:rPr>
          <w:rFonts w:hint="eastAsia" w:ascii="仿宋_GB2312" w:hAnsi="仿宋_GB2312" w:eastAsia="仿宋_GB2312" w:cs="仿宋_GB2312"/>
          <w:sz w:val="32"/>
          <w:szCs w:val="32"/>
          <w:lang w:val="en-US" w:eastAsia="zh-CN"/>
        </w:rPr>
        <w:t>其中人员经费166.22万元，公用经费10.26万元，支出项目共25个，</w:t>
      </w:r>
      <w:r>
        <w:rPr>
          <w:rFonts w:hint="eastAsia" w:ascii="仿宋" w:hAnsi="仿宋" w:eastAsia="仿宋" w:cs="仿宋_GB2312"/>
          <w:sz w:val="32"/>
          <w:szCs w:val="32"/>
        </w:rPr>
        <w:t>支出总额</w:t>
      </w:r>
      <w:r>
        <w:rPr>
          <w:rFonts w:hint="eastAsia" w:ascii="仿宋" w:hAnsi="仿宋" w:eastAsia="仿宋" w:cs="仿宋_GB2312"/>
          <w:sz w:val="32"/>
          <w:szCs w:val="32"/>
          <w:lang w:val="en-US" w:eastAsia="zh-CN"/>
        </w:rPr>
        <w:t>5601.84</w:t>
      </w:r>
      <w:r>
        <w:rPr>
          <w:rFonts w:hint="eastAsia" w:ascii="仿宋" w:hAnsi="仿宋" w:eastAsia="仿宋" w:cs="仿宋_GB2312"/>
          <w:sz w:val="32"/>
          <w:szCs w:val="32"/>
        </w:rPr>
        <w:t>万元，其中预算支出30万元及以上应申报绩效的项目3个，支出总额540万元。预算项目支出绩效目标如下：</w:t>
      </w:r>
    </w:p>
    <w:p>
      <w:pPr>
        <w:pStyle w:val="3"/>
        <w:numPr>
          <w:numId w:val="0"/>
        </w:numPr>
        <w:spacing w:line="360" w:lineRule="auto"/>
        <w:ind w:firstLine="960" w:firstLineChars="300"/>
        <w:rPr>
          <w:rFonts w:hint="eastAsia" w:ascii="仿宋" w:hAnsi="仿宋" w:eastAsia="仿宋" w:cs="仿宋_GB2312"/>
          <w:sz w:val="32"/>
          <w:szCs w:val="32"/>
        </w:rPr>
      </w:pPr>
      <w:r>
        <w:rPr>
          <w:rFonts w:hint="eastAsia" w:ascii="仿宋" w:hAnsi="仿宋" w:eastAsia="仿宋" w:cs="仿宋_GB2312"/>
          <w:sz w:val="32"/>
          <w:szCs w:val="32"/>
          <w:lang w:val="en-US" w:eastAsia="zh-CN"/>
        </w:rPr>
        <w:t>1、</w:t>
      </w:r>
      <w:r>
        <w:rPr>
          <w:rFonts w:hint="eastAsia" w:ascii="仿宋" w:hAnsi="仿宋" w:eastAsia="仿宋" w:cs="仿宋_GB2312"/>
          <w:sz w:val="32"/>
          <w:szCs w:val="32"/>
        </w:rPr>
        <w:t>城市低保项目支出绩效目标</w:t>
      </w:r>
    </w:p>
    <w:p>
      <w:pPr>
        <w:pStyle w:val="3"/>
        <w:spacing w:line="360" w:lineRule="auto"/>
        <w:ind w:left="210" w:leftChars="100" w:firstLine="640"/>
        <w:rPr>
          <w:rFonts w:ascii="仿宋" w:hAnsi="仿宋" w:eastAsia="仿宋" w:cs="仿宋_GB2312"/>
          <w:sz w:val="32"/>
          <w:szCs w:val="32"/>
        </w:rPr>
      </w:pPr>
      <w:r>
        <w:rPr>
          <w:rFonts w:hint="eastAsia" w:ascii="仿宋" w:hAnsi="仿宋" w:eastAsia="仿宋" w:cs="仿宋_GB2312"/>
          <w:sz w:val="32"/>
          <w:szCs w:val="32"/>
        </w:rPr>
        <w:t>将所有符合条件的城市贫困人口全部纳入保障范围，实现应保尽保，稳定、持久、有效地解决城市贫困人口的基本生活问题。</w:t>
      </w:r>
    </w:p>
    <w:p>
      <w:pPr>
        <w:pStyle w:val="3"/>
        <w:numPr>
          <w:numId w:val="0"/>
        </w:numPr>
        <w:spacing w:line="360" w:lineRule="auto"/>
        <w:ind w:firstLine="960" w:firstLineChars="300"/>
        <w:rPr>
          <w:rFonts w:hint="eastAsia" w:ascii="仿宋" w:hAnsi="仿宋" w:eastAsia="仿宋" w:cs="仿宋_GB2312"/>
          <w:sz w:val="32"/>
          <w:szCs w:val="32"/>
        </w:rPr>
      </w:pPr>
      <w:r>
        <w:rPr>
          <w:rFonts w:hint="eastAsia" w:ascii="仿宋" w:hAnsi="仿宋" w:eastAsia="仿宋" w:cs="仿宋_GB2312"/>
          <w:sz w:val="32"/>
          <w:szCs w:val="32"/>
          <w:lang w:val="en-US" w:eastAsia="zh-CN"/>
        </w:rPr>
        <w:t>2、</w:t>
      </w:r>
      <w:r>
        <w:rPr>
          <w:rFonts w:hint="eastAsia" w:ascii="仿宋" w:hAnsi="仿宋" w:eastAsia="仿宋" w:cs="仿宋_GB2312"/>
          <w:sz w:val="32"/>
          <w:szCs w:val="32"/>
        </w:rPr>
        <w:t>农村低保项目支出绩效目标</w:t>
      </w:r>
    </w:p>
    <w:p>
      <w:pPr>
        <w:pStyle w:val="3"/>
        <w:spacing w:line="360" w:lineRule="auto"/>
        <w:ind w:left="210" w:leftChars="100" w:firstLine="640"/>
        <w:rPr>
          <w:rFonts w:ascii="仿宋" w:hAnsi="仿宋" w:eastAsia="仿宋" w:cs="仿宋_GB2312"/>
          <w:sz w:val="32"/>
          <w:szCs w:val="32"/>
        </w:rPr>
      </w:pPr>
      <w:r>
        <w:rPr>
          <w:rFonts w:hint="eastAsia" w:ascii="仿宋" w:hAnsi="仿宋" w:eastAsia="仿宋" w:cs="仿宋_GB2312"/>
          <w:sz w:val="32"/>
          <w:szCs w:val="32"/>
        </w:rPr>
        <w:t>将所有符合条件的农村贫困人口全部纳入保障范围，实现应保尽保，稳定、持久、有效地解决农村贫困人口的基本生活问题。</w:t>
      </w:r>
    </w:p>
    <w:p>
      <w:pPr>
        <w:pStyle w:val="3"/>
        <w:numPr>
          <w:numId w:val="0"/>
        </w:numPr>
        <w:spacing w:line="360" w:lineRule="auto"/>
        <w:ind w:firstLine="960" w:firstLineChars="300"/>
        <w:rPr>
          <w:rFonts w:hint="eastAsia" w:ascii="仿宋" w:hAnsi="仿宋" w:eastAsia="仿宋" w:cs="仿宋_GB2312"/>
          <w:sz w:val="32"/>
          <w:szCs w:val="32"/>
        </w:rPr>
      </w:pPr>
      <w:r>
        <w:rPr>
          <w:rFonts w:hint="eastAsia" w:ascii="仿宋" w:hAnsi="仿宋" w:eastAsia="仿宋" w:cs="仿宋_GB2312"/>
          <w:sz w:val="32"/>
          <w:szCs w:val="32"/>
          <w:lang w:val="en-US" w:eastAsia="zh-CN"/>
        </w:rPr>
        <w:t>3、</w:t>
      </w:r>
      <w:r>
        <w:rPr>
          <w:rFonts w:hint="eastAsia" w:ascii="仿宋" w:hAnsi="仿宋" w:eastAsia="仿宋" w:cs="仿宋_GB2312"/>
          <w:sz w:val="32"/>
          <w:szCs w:val="32"/>
        </w:rPr>
        <w:t>城乡医疗救助项目支出绩效目标</w:t>
      </w:r>
    </w:p>
    <w:p>
      <w:pPr>
        <w:pStyle w:val="3"/>
        <w:spacing w:line="360" w:lineRule="auto"/>
        <w:ind w:left="210" w:leftChars="100" w:firstLine="640"/>
        <w:rPr>
          <w:rFonts w:hint="eastAsia" w:ascii="仿宋" w:hAnsi="仿宋" w:eastAsia="仿宋" w:cs="仿宋_GB2312"/>
          <w:sz w:val="32"/>
          <w:szCs w:val="32"/>
        </w:rPr>
      </w:pPr>
      <w:r>
        <w:rPr>
          <w:rFonts w:hint="eastAsia" w:ascii="仿宋" w:hAnsi="仿宋" w:eastAsia="仿宋" w:cs="仿宋_GB2312"/>
          <w:sz w:val="32"/>
          <w:szCs w:val="32"/>
        </w:rPr>
        <w:t>城乡低保对象患病住院个人负担费用按70%的比例给予救助，年度最高限额为1万元；特困人员集中供养对象个人负担费用按90%比例给予救助；分散供养对象个人负担费用按80%比例给予救助，年度最高限额为1万元；大病门诊救助比例为10%，年度最高限额为5000元。杜绝城乡居民因病致贫。</w:t>
      </w:r>
    </w:p>
    <w:p>
      <w:pPr>
        <w:pStyle w:val="4"/>
        <w:spacing w:line="600" w:lineRule="atLeast"/>
        <w:ind w:left="420" w:firstLine="320" w:firstLineChars="100"/>
        <w:rPr>
          <w:rFonts w:hint="eastAsia" w:ascii="楷体" w:hAnsi="楷体" w:eastAsia="楷体" w:cs="楷体"/>
          <w:sz w:val="32"/>
          <w:szCs w:val="32"/>
        </w:rPr>
      </w:pPr>
      <w:r>
        <w:rPr>
          <w:rFonts w:hint="eastAsia" w:ascii="楷体" w:hAnsi="楷体" w:eastAsia="楷体" w:cs="楷体"/>
          <w:sz w:val="32"/>
          <w:szCs w:val="32"/>
        </w:rPr>
        <w:t>（四）国有资产占用情况</w:t>
      </w:r>
    </w:p>
    <w:p>
      <w:pPr>
        <w:pStyle w:val="4"/>
        <w:spacing w:line="600" w:lineRule="atLeast"/>
        <w:rPr>
          <w:rFonts w:hint="eastAsia" w:ascii="仿宋" w:hAnsi="仿宋" w:eastAsia="仿宋" w:cs="仿宋"/>
          <w:sz w:val="32"/>
          <w:szCs w:val="32"/>
        </w:rPr>
      </w:pPr>
      <w:r>
        <w:rPr>
          <w:rFonts w:hint="eastAsia" w:ascii="仿宋_GB2312" w:eastAsia="仿宋_GB2312"/>
          <w:sz w:val="32"/>
          <w:szCs w:val="32"/>
        </w:rPr>
        <w:t xml:space="preserve">   </w:t>
      </w:r>
      <w:r>
        <w:rPr>
          <w:rFonts w:hint="eastAsia" w:ascii="仿宋" w:hAnsi="仿宋" w:eastAsia="仿宋" w:cs="仿宋"/>
          <w:sz w:val="32"/>
          <w:szCs w:val="32"/>
        </w:rPr>
        <w:t xml:space="preserve"> 2017年期末，</w:t>
      </w:r>
      <w:r>
        <w:rPr>
          <w:rFonts w:hint="eastAsia" w:ascii="仿宋" w:hAnsi="仿宋" w:eastAsia="仿宋" w:cs="仿宋"/>
          <w:sz w:val="32"/>
          <w:szCs w:val="32"/>
          <w:lang w:eastAsia="zh-CN"/>
        </w:rPr>
        <w:t>温县民政局</w:t>
      </w:r>
      <w:r>
        <w:rPr>
          <w:rFonts w:hint="eastAsia" w:ascii="仿宋" w:hAnsi="仿宋" w:eastAsia="仿宋" w:cs="仿宋"/>
          <w:sz w:val="32"/>
          <w:szCs w:val="32"/>
        </w:rPr>
        <w:t>固定资产总额</w:t>
      </w:r>
      <w:r>
        <w:rPr>
          <w:rFonts w:hint="eastAsia" w:ascii="仿宋" w:hAnsi="仿宋" w:eastAsia="仿宋" w:cs="仿宋"/>
          <w:sz w:val="32"/>
          <w:szCs w:val="32"/>
          <w:lang w:val="en-US" w:eastAsia="zh-CN"/>
        </w:rPr>
        <w:t>353.7</w:t>
      </w:r>
      <w:r>
        <w:rPr>
          <w:rFonts w:hint="eastAsia" w:ascii="仿宋" w:hAnsi="仿宋" w:eastAsia="仿宋" w:cs="仿宋"/>
          <w:sz w:val="32"/>
          <w:szCs w:val="32"/>
        </w:rPr>
        <w:t>万元，其中，房屋建筑物</w:t>
      </w:r>
      <w:r>
        <w:rPr>
          <w:rFonts w:hint="eastAsia" w:ascii="仿宋" w:hAnsi="仿宋" w:eastAsia="仿宋" w:cs="仿宋"/>
          <w:sz w:val="32"/>
          <w:szCs w:val="32"/>
          <w:lang w:val="en-US" w:eastAsia="zh-CN"/>
        </w:rPr>
        <w:t>0</w:t>
      </w:r>
      <w:r>
        <w:rPr>
          <w:rFonts w:hint="eastAsia" w:ascii="仿宋" w:hAnsi="仿宋" w:eastAsia="仿宋" w:cs="仿宋"/>
          <w:sz w:val="32"/>
          <w:szCs w:val="32"/>
        </w:rPr>
        <w:t>万元，车辆</w:t>
      </w:r>
      <w:r>
        <w:rPr>
          <w:rFonts w:hint="eastAsia" w:ascii="仿宋" w:hAnsi="仿宋" w:eastAsia="仿宋" w:cs="仿宋"/>
          <w:sz w:val="32"/>
          <w:szCs w:val="32"/>
          <w:lang w:val="en-US" w:eastAsia="zh-CN"/>
        </w:rPr>
        <w:t>17.56</w:t>
      </w:r>
      <w:r>
        <w:rPr>
          <w:rFonts w:hint="eastAsia" w:ascii="仿宋" w:hAnsi="仿宋" w:eastAsia="仿宋" w:cs="仿宋"/>
          <w:sz w:val="32"/>
          <w:szCs w:val="32"/>
        </w:rPr>
        <w:t>万元。共有车辆</w:t>
      </w:r>
      <w:r>
        <w:rPr>
          <w:rFonts w:hint="eastAsia" w:ascii="仿宋" w:hAnsi="仿宋" w:eastAsia="仿宋" w:cs="仿宋"/>
          <w:sz w:val="32"/>
          <w:szCs w:val="32"/>
          <w:lang w:val="en-US" w:eastAsia="zh-CN"/>
        </w:rPr>
        <w:t>1</w:t>
      </w:r>
      <w:r>
        <w:rPr>
          <w:rFonts w:hint="eastAsia" w:ascii="仿宋" w:hAnsi="仿宋" w:eastAsia="仿宋" w:cs="仿宋"/>
          <w:sz w:val="32"/>
          <w:szCs w:val="32"/>
        </w:rPr>
        <w:t>辆，其中：一般公务用车</w:t>
      </w:r>
      <w:r>
        <w:rPr>
          <w:rFonts w:hint="eastAsia" w:ascii="仿宋" w:hAnsi="仿宋" w:eastAsia="仿宋" w:cs="仿宋"/>
          <w:sz w:val="32"/>
          <w:szCs w:val="32"/>
          <w:lang w:val="en-US" w:eastAsia="zh-CN"/>
        </w:rPr>
        <w:t>1</w:t>
      </w:r>
      <w:r>
        <w:rPr>
          <w:rFonts w:hint="eastAsia" w:ascii="仿宋" w:hAnsi="仿宋" w:eastAsia="仿宋" w:cs="仿宋"/>
          <w:sz w:val="32"/>
          <w:szCs w:val="32"/>
        </w:rPr>
        <w:t>辆，执法执勤车</w:t>
      </w:r>
      <w:r>
        <w:rPr>
          <w:rFonts w:hint="eastAsia" w:ascii="仿宋" w:hAnsi="仿宋" w:eastAsia="仿宋" w:cs="仿宋"/>
          <w:sz w:val="32"/>
          <w:szCs w:val="32"/>
          <w:lang w:val="en-US" w:eastAsia="zh-CN"/>
        </w:rPr>
        <w:t>0</w:t>
      </w:r>
      <w:r>
        <w:rPr>
          <w:rFonts w:hint="eastAsia" w:ascii="仿宋" w:hAnsi="仿宋" w:eastAsia="仿宋" w:cs="仿宋"/>
          <w:sz w:val="32"/>
          <w:szCs w:val="32"/>
        </w:rPr>
        <w:t>辆，单价50万元以上通用设备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台（套），单位价值100万元以上专用设备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w:t>
      </w:r>
    </w:p>
    <w:p>
      <w:pPr>
        <w:pStyle w:val="3"/>
        <w:spacing w:line="360" w:lineRule="auto"/>
        <w:ind w:left="420" w:leftChars="200" w:firstLine="640"/>
        <w:rPr>
          <w:rFonts w:hint="eastAsia" w:ascii="仿宋" w:hAnsi="仿宋" w:eastAsia="仿宋" w:cs="仿宋_GB2312"/>
          <w:sz w:val="32"/>
          <w:szCs w:val="32"/>
        </w:rPr>
      </w:pPr>
    </w:p>
    <w:p>
      <w:pPr>
        <w:kinsoku w:val="0"/>
        <w:overflowPunct w:val="0"/>
        <w:autoSpaceDE w:val="0"/>
        <w:autoSpaceDN w:val="0"/>
        <w:adjustRightInd w:val="0"/>
        <w:snapToGrid w:val="0"/>
        <w:spacing w:line="360" w:lineRule="auto"/>
        <w:ind w:left="420" w:leftChars="200" w:firstLine="643" w:firstLineChars="200"/>
        <w:rPr>
          <w:rFonts w:ascii="仿宋" w:hAnsi="仿宋" w:eastAsia="仿宋" w:cs="仿宋_GB2312"/>
          <w:b/>
          <w:kern w:val="0"/>
          <w:sz w:val="32"/>
          <w:szCs w:val="32"/>
        </w:rPr>
      </w:pPr>
    </w:p>
    <w:p>
      <w:pPr>
        <w:adjustRightInd w:val="0"/>
        <w:snapToGrid w:val="0"/>
        <w:spacing w:line="6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第三部分 名词解释</w:t>
      </w:r>
    </w:p>
    <w:p>
      <w:pPr>
        <w:kinsoku w:val="0"/>
        <w:overflowPunct w:val="0"/>
        <w:autoSpaceDE w:val="0"/>
        <w:autoSpaceDN w:val="0"/>
        <w:adjustRightInd w:val="0"/>
        <w:snapToGrid w:val="0"/>
        <w:spacing w:line="360" w:lineRule="auto"/>
        <w:ind w:left="420" w:leftChars="200" w:firstLine="640" w:firstLineChars="200"/>
        <w:rPr>
          <w:rFonts w:ascii="仿宋" w:hAnsi="仿宋" w:eastAsia="仿宋" w:cs="仿宋_GB2312"/>
          <w:sz w:val="32"/>
          <w:szCs w:val="32"/>
        </w:rPr>
      </w:pPr>
      <w:r>
        <w:rPr>
          <w:rFonts w:hint="eastAsia" w:ascii="仿宋" w:hAnsi="仿宋" w:eastAsia="仿宋" w:cs="仿宋_GB2312"/>
          <w:sz w:val="32"/>
          <w:szCs w:val="32"/>
        </w:rPr>
        <w:t>一、财政拨款收入：是指县财政当年拨付的资金。</w:t>
      </w:r>
    </w:p>
    <w:p>
      <w:pPr>
        <w:kinsoku w:val="0"/>
        <w:overflowPunct w:val="0"/>
        <w:autoSpaceDE w:val="0"/>
        <w:autoSpaceDN w:val="0"/>
        <w:adjustRightInd w:val="0"/>
        <w:snapToGrid w:val="0"/>
        <w:spacing w:line="360" w:lineRule="auto"/>
        <w:ind w:left="420" w:leftChars="200" w:firstLine="640" w:firstLineChars="200"/>
        <w:rPr>
          <w:rFonts w:ascii="仿宋" w:hAnsi="仿宋" w:eastAsia="仿宋" w:cs="仿宋_GB2312"/>
          <w:sz w:val="32"/>
          <w:szCs w:val="32"/>
        </w:rPr>
      </w:pPr>
      <w:r>
        <w:rPr>
          <w:rFonts w:hint="eastAsia" w:ascii="仿宋" w:hAnsi="仿宋" w:eastAsia="仿宋" w:cs="仿宋_GB2312"/>
          <w:sz w:val="32"/>
          <w:szCs w:val="32"/>
        </w:rPr>
        <w:t>二、事业收入：是指事业单位开展专业活动及辅助活动所取 得的收入。</w:t>
      </w:r>
    </w:p>
    <w:p>
      <w:pPr>
        <w:kinsoku w:val="0"/>
        <w:overflowPunct w:val="0"/>
        <w:autoSpaceDE w:val="0"/>
        <w:autoSpaceDN w:val="0"/>
        <w:adjustRightInd w:val="0"/>
        <w:snapToGrid w:val="0"/>
        <w:spacing w:line="360" w:lineRule="auto"/>
        <w:ind w:left="420" w:leftChars="200" w:firstLine="640" w:firstLineChars="200"/>
        <w:rPr>
          <w:rFonts w:ascii="仿宋" w:hAnsi="仿宋" w:eastAsia="仿宋" w:cs="仿宋_GB2312"/>
          <w:sz w:val="32"/>
          <w:szCs w:val="32"/>
        </w:rPr>
      </w:pPr>
      <w:r>
        <w:rPr>
          <w:rFonts w:hint="eastAsia" w:ascii="仿宋" w:hAnsi="仿宋" w:eastAsia="仿宋" w:cs="仿宋_GB2312"/>
          <w:sz w:val="32"/>
          <w:szCs w:val="32"/>
        </w:rPr>
        <w:t xml:space="preserve">三、其他收入：是指部门取得的除“财政拨款”、“事业收入”、“事业单位经营收入”等以外的收入。 </w:t>
      </w:r>
    </w:p>
    <w:p>
      <w:pPr>
        <w:kinsoku w:val="0"/>
        <w:overflowPunct w:val="0"/>
        <w:autoSpaceDE w:val="0"/>
        <w:autoSpaceDN w:val="0"/>
        <w:adjustRightInd w:val="0"/>
        <w:snapToGrid w:val="0"/>
        <w:spacing w:line="360" w:lineRule="auto"/>
        <w:ind w:left="420" w:leftChars="200" w:firstLine="640" w:firstLineChars="200"/>
        <w:rPr>
          <w:rFonts w:ascii="仿宋" w:hAnsi="仿宋" w:eastAsia="仿宋" w:cs="仿宋_GB2312"/>
          <w:sz w:val="32"/>
          <w:szCs w:val="32"/>
        </w:rPr>
      </w:pPr>
      <w:r>
        <w:rPr>
          <w:rFonts w:hint="eastAsia" w:ascii="仿宋" w:hAnsi="仿宋" w:eastAsia="仿宋" w:cs="仿宋_GB2312"/>
          <w:sz w:val="32"/>
          <w:szCs w:val="32"/>
        </w:rPr>
        <w:t>四、基本支出：是指为保障机构正常运转、完成日常工作任务所必需的开支，其内容包括人员经费和日常公用经费两部分。</w:t>
      </w:r>
    </w:p>
    <w:p>
      <w:pPr>
        <w:kinsoku w:val="0"/>
        <w:overflowPunct w:val="0"/>
        <w:autoSpaceDE w:val="0"/>
        <w:autoSpaceDN w:val="0"/>
        <w:adjustRightInd w:val="0"/>
        <w:snapToGrid w:val="0"/>
        <w:spacing w:line="360" w:lineRule="auto"/>
        <w:ind w:left="420" w:leftChars="200" w:firstLine="640" w:firstLineChars="200"/>
        <w:rPr>
          <w:rFonts w:ascii="仿宋" w:hAnsi="仿宋" w:eastAsia="仿宋" w:cs="仿宋_GB2312"/>
          <w:sz w:val="32"/>
          <w:szCs w:val="32"/>
        </w:rPr>
      </w:pPr>
      <w:r>
        <w:rPr>
          <w:rFonts w:hint="eastAsia" w:ascii="仿宋" w:hAnsi="仿宋" w:eastAsia="仿宋" w:cs="仿宋_GB2312"/>
          <w:sz w:val="32"/>
          <w:szCs w:val="32"/>
        </w:rPr>
        <w:t>五、项目支出：是指在基本支出之外，为完成特定的行政工作任务或事业发展目标所发生的支出。</w:t>
      </w:r>
    </w:p>
    <w:p>
      <w:pPr>
        <w:kinsoku w:val="0"/>
        <w:overflowPunct w:val="0"/>
        <w:autoSpaceDE w:val="0"/>
        <w:autoSpaceDN w:val="0"/>
        <w:adjustRightInd w:val="0"/>
        <w:snapToGrid w:val="0"/>
        <w:spacing w:line="360" w:lineRule="auto"/>
        <w:ind w:left="420" w:leftChars="200" w:firstLine="640" w:firstLineChars="200"/>
        <w:rPr>
          <w:rFonts w:ascii="仿宋" w:hAnsi="仿宋" w:eastAsia="仿宋" w:cs="仿宋_GB2312"/>
          <w:sz w:val="32"/>
          <w:szCs w:val="32"/>
        </w:rPr>
      </w:pPr>
      <w:r>
        <w:rPr>
          <w:rFonts w:hint="eastAsia" w:ascii="仿宋" w:hAnsi="仿宋" w:eastAsia="仿宋" w:cs="仿宋_GB2312"/>
          <w:sz w:val="32"/>
          <w:szCs w:val="32"/>
        </w:rPr>
        <w:t>六、“三公”经费：是指纳入县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left="420" w:leftChars="200" w:firstLine="640" w:firstLineChars="200"/>
        <w:rPr>
          <w:rFonts w:hint="eastAsia" w:ascii="仿宋" w:hAnsi="仿宋" w:eastAsia="仿宋" w:cs="仿宋_GB2312"/>
          <w:sz w:val="32"/>
          <w:szCs w:val="32"/>
        </w:rPr>
      </w:pPr>
      <w:r>
        <w:rPr>
          <w:rFonts w:hint="eastAsia" w:ascii="仿宋" w:hAnsi="仿宋" w:eastAsia="仿宋" w:cs="Courier New"/>
          <w:sz w:val="32"/>
          <w:szCs w:val="32"/>
        </w:rPr>
        <w:t>七、机关运行经费：是指为保障行政</w:t>
      </w:r>
      <w:r>
        <w:rPr>
          <w:rFonts w:hint="eastAsia" w:ascii="仿宋" w:hAnsi="仿宋" w:eastAsia="仿宋" w:cs="仿宋_GB2312"/>
          <w:sz w:val="32"/>
          <w:szCs w:val="32"/>
        </w:rPr>
        <w:t>机构正常运转及正常履职需要的办公费、水电费、日常维修、物业费、维修费、差旅费、</w:t>
      </w:r>
      <w:r>
        <w:rPr>
          <w:rFonts w:hint="eastAsia" w:ascii="仿宋" w:hAnsi="仿宋" w:eastAsia="仿宋" w:cs="Courier New"/>
          <w:sz w:val="32"/>
          <w:szCs w:val="32"/>
        </w:rPr>
        <w:t>公务用车运行维护费以及其他费用</w:t>
      </w:r>
      <w:r>
        <w:rPr>
          <w:rFonts w:hint="eastAsia" w:ascii="仿宋" w:hAnsi="仿宋" w:eastAsia="仿宋" w:cs="仿宋_GB2312"/>
          <w:sz w:val="32"/>
          <w:szCs w:val="32"/>
        </w:rPr>
        <w:t>等支出。</w:t>
      </w:r>
    </w:p>
    <w:p>
      <w:pPr>
        <w:kinsoku w:val="0"/>
        <w:overflowPunct w:val="0"/>
        <w:autoSpaceDE w:val="0"/>
        <w:autoSpaceDN w:val="0"/>
        <w:adjustRightInd w:val="0"/>
        <w:snapToGrid w:val="0"/>
        <w:spacing w:line="360" w:lineRule="auto"/>
        <w:ind w:left="420" w:leftChars="200"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八、城乡最低生活保障支出：是指为城乡最低生活保障对象发放的最低生活保障金支出。</w:t>
      </w:r>
    </w:p>
    <w:p>
      <w:pPr>
        <w:kinsoku w:val="0"/>
        <w:overflowPunct w:val="0"/>
        <w:autoSpaceDE w:val="0"/>
        <w:autoSpaceDN w:val="0"/>
        <w:adjustRightInd w:val="0"/>
        <w:snapToGrid w:val="0"/>
        <w:spacing w:line="360" w:lineRule="auto"/>
        <w:ind w:left="420" w:leftChars="200"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 xml:space="preserve">九、残疾人生活和护理补贴：是指为低保家庭中的残疾人和被评定为一级、二级且需要长期照护的重度残疾人发放的生活补助。 </w:t>
      </w:r>
    </w:p>
    <w:p>
      <w:pPr>
        <w:kinsoku w:val="0"/>
        <w:overflowPunct w:val="0"/>
        <w:autoSpaceDE w:val="0"/>
        <w:autoSpaceDN w:val="0"/>
        <w:adjustRightInd w:val="0"/>
        <w:snapToGrid w:val="0"/>
        <w:spacing w:line="360" w:lineRule="auto"/>
        <w:ind w:left="420" w:leftChars="200"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十、伤残抚恤：是指用于伤残人员的抚恤金和按规定开支的各种伤残补助费。</w:t>
      </w:r>
    </w:p>
    <w:p>
      <w:pPr>
        <w:adjustRightInd w:val="0"/>
        <w:snapToGrid w:val="0"/>
        <w:spacing w:line="360" w:lineRule="auto"/>
        <w:ind w:left="420" w:leftChars="200" w:firstLine="640" w:firstLineChars="200"/>
        <w:rPr>
          <w:rFonts w:ascii="仿宋" w:hAnsi="仿宋" w:eastAsia="仿宋" w:cs="仿宋_GB2312"/>
          <w:sz w:val="32"/>
          <w:szCs w:val="32"/>
        </w:rPr>
      </w:pPr>
      <w:r>
        <w:rPr>
          <w:rFonts w:hint="eastAsia" w:ascii="仿宋" w:hAnsi="仿宋" w:eastAsia="仿宋" w:cs="仿宋_GB2312"/>
          <w:sz w:val="32"/>
          <w:szCs w:val="32"/>
        </w:rPr>
        <w:t>附件：温县民政局2018年度部门预算表</w:t>
      </w:r>
    </w:p>
    <w:p>
      <w:pPr>
        <w:spacing w:line="360" w:lineRule="auto"/>
        <w:ind w:left="420" w:leftChars="200" w:firstLine="640" w:firstLineChars="200"/>
        <w:rPr>
          <w:rFonts w:ascii="仿宋" w:hAnsi="仿宋" w:eastAsia="仿宋" w:cs="仿宋_GB2312"/>
          <w:sz w:val="32"/>
          <w:szCs w:val="32"/>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73378015">
    <w:nsid w:val="45F053DF"/>
    <w:multiLevelType w:val="multilevel"/>
    <w:tmpl w:val="45F053DF"/>
    <w:lvl w:ilvl="0" w:tentative="1">
      <w:start w:val="1"/>
      <w:numFmt w:val="decimal"/>
      <w:lvlText w:val="（%1）"/>
      <w:lvlJc w:val="left"/>
      <w:pPr>
        <w:ind w:left="1500" w:hanging="108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536564339">
    <w:nsid w:val="5B961C73"/>
    <w:multiLevelType w:val="singleLevel"/>
    <w:tmpl w:val="5B961C73"/>
    <w:lvl w:ilvl="0" w:tentative="1">
      <w:start w:val="2"/>
      <w:numFmt w:val="chineseCounting"/>
      <w:suff w:val="nothing"/>
      <w:lvlText w:val="（%1）"/>
      <w:lvlJc w:val="left"/>
    </w:lvl>
  </w:abstractNum>
  <w:abstractNum w:abstractNumId="1517907436">
    <w:nsid w:val="5A796DEC"/>
    <w:multiLevelType w:val="singleLevel"/>
    <w:tmpl w:val="5A796DEC"/>
    <w:lvl w:ilvl="0" w:tentative="1">
      <w:start w:val="1"/>
      <w:numFmt w:val="chineseCounting"/>
      <w:suff w:val="nothing"/>
      <w:lvlText w:val="%1、"/>
      <w:lvlJc w:val="left"/>
    </w:lvl>
  </w:abstractNum>
  <w:abstractNum w:abstractNumId="1515138474">
    <w:nsid w:val="5A4F2DAA"/>
    <w:multiLevelType w:val="singleLevel"/>
    <w:tmpl w:val="5A4F2DAA"/>
    <w:lvl w:ilvl="0" w:tentative="1">
      <w:start w:val="1"/>
      <w:numFmt w:val="chineseCounting"/>
      <w:suff w:val="nothing"/>
      <w:lvlText w:val="（%1）"/>
      <w:lvlJc w:val="left"/>
      <w:rPr>
        <w:b/>
      </w:rPr>
    </w:lvl>
  </w:abstractNum>
  <w:abstractNum w:abstractNumId="3256661881">
    <w:nsid w:val="C21CB779"/>
    <w:multiLevelType w:val="singleLevel"/>
    <w:tmpl w:val="C21CB779"/>
    <w:lvl w:ilvl="0" w:tentative="1">
      <w:start w:val="1"/>
      <w:numFmt w:val="decimal"/>
      <w:suff w:val="nothing"/>
      <w:lvlText w:val="%1、"/>
      <w:lvlJc w:val="left"/>
    </w:lvl>
  </w:abstractNum>
  <w:abstractNum w:abstractNumId="1536564371">
    <w:nsid w:val="5B961C93"/>
    <w:multiLevelType w:val="singleLevel"/>
    <w:tmpl w:val="5B961C93"/>
    <w:lvl w:ilvl="0" w:tentative="1">
      <w:start w:val="3"/>
      <w:numFmt w:val="chineseCounting"/>
      <w:suff w:val="nothing"/>
      <w:lvlText w:val="（%1）"/>
      <w:lvlJc w:val="left"/>
    </w:lvl>
  </w:abstractNum>
  <w:abstractNum w:abstractNumId="1520564614">
    <w:nsid w:val="5AA1F986"/>
    <w:multiLevelType w:val="singleLevel"/>
    <w:tmpl w:val="5AA1F986"/>
    <w:lvl w:ilvl="0" w:tentative="1">
      <w:start w:val="1"/>
      <w:numFmt w:val="chineseCounting"/>
      <w:suff w:val="nothing"/>
      <w:lvlText w:val="(%1）"/>
      <w:lvlJc w:val="left"/>
    </w:lvl>
  </w:abstractNum>
  <w:num w:numId="1">
    <w:abstractNumId w:val="1517907436"/>
  </w:num>
  <w:num w:numId="2">
    <w:abstractNumId w:val="1520564614"/>
  </w:num>
  <w:num w:numId="3">
    <w:abstractNumId w:val="1173378015"/>
  </w:num>
  <w:num w:numId="4">
    <w:abstractNumId w:val="3256661881"/>
  </w:num>
  <w:num w:numId="5">
    <w:abstractNumId w:val="1515138474"/>
  </w:num>
  <w:num w:numId="6">
    <w:abstractNumId w:val="1536564339"/>
  </w:num>
  <w:num w:numId="7">
    <w:abstractNumId w:val="15365643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unhideWhenUsed/>
    <w:qFormat/>
    <w:uiPriority w:val="1"/>
  </w:style>
  <w:style w:type="paragraph" w:customStyle="1" w:styleId="3">
    <w:name w:val="List Paragraph"/>
    <w:basedOn w:val="1"/>
    <w:qFormat/>
    <w:uiPriority w:val="34"/>
    <w:pPr>
      <w:ind w:firstLine="420" w:firstLineChars="200"/>
    </w:pPr>
  </w:style>
  <w:style w:type="paragraph" w:customStyle="1" w:styleId="4">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830</Words>
  <Characters>4734</Characters>
  <Lines>39</Lines>
  <Paragraphs>11</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2018-03-09T02:20:00Z</dcterms:created>
  <dc:creator>Administrator</dc:creator>
  <cp:lastModifiedBy>null,null,总收发</cp:lastModifiedBy>
  <cp:lastPrinted>2018-03-09T07:54:00Z</cp:lastPrinted>
  <dcterms:modified xsi:type="dcterms:W3CDTF">2019-03-17T08:26:07Z</dcterms:modified>
  <dc:title>XX年度XX单位预算公开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