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温县农林局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温县农林局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办公室2、人事科3、农村经济体制与经营管理科4、农业综合管理科5、计划财务科6、科技教育科7、种植业管理科8、扶贫管理科9、农产品质量安全管理科10、兽医科11、畜禽屠宰监督管理科12、畜牧科13、造林绿化和森林资源管理科14、野生动植物保护与自然保护区管理科15、温县人民政府护林防火指挥部办公室。</w:t>
      </w: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部门职责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订全县种植业、畜牧业、渔业、林业、乡镇企业、生态农业、农垦等农业有关产业和农村经济发展政策、发展战略、中长期发展规划并组织实施。参与拟订有关地方标准和规程并指导实施。拟订全县农业经济结构调整的政策、规划并组织实施。起草农业和农村经济的规范性文件和政策，推进农业依法行政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我单位有二级机构 18个，本预算为汇总预算，纳入我单位2018年部门预算编报范围的二级机构有：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温县四大怀药产业化服务中心2、温县农业技术推广中心3、温县植物保护植物检疫站4、温县种子管理站5、温县农村合作经济经营管理站6、温县土壤肥料工作站7、温县园艺站8、温县农村能源管理站9、河南省农业广播电视学校温县分校10、温县农业信息中心11、温县农业执法大队12、温县农产品质量安全检测站13、温县林业科研技术推广站14、温县实验林场15、温县畜牧工作站16、温县动物卫生监督所17、温县动物疫病预防控制中心18、温县畜产品质量安全监测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温县农林局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单位人员减少。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温县农林局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1545.3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1373.35万元，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135.2万元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温县农林局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1103.75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441.55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温县农林局</w:t>
      </w:r>
      <w:r>
        <w:rPr>
          <w:rFonts w:hint="eastAsia" w:ascii="仿宋_GB2312" w:eastAsia="仿宋_GB2312"/>
          <w:color w:val="000000"/>
          <w:sz w:val="32"/>
          <w:szCs w:val="32"/>
        </w:rPr>
        <w:t>2018年一般公共预算收支预算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1545.3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</w:rPr>
        <w:t>与 2017年相比，一般公共预算收支预算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减少2.97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0.19</w:t>
      </w:r>
      <w:r>
        <w:rPr>
          <w:rFonts w:hint="eastAsia" w:ascii="仿宋_GB2312" w:eastAsia="仿宋_GB2312"/>
          <w:color w:val="000000"/>
          <w:sz w:val="32"/>
          <w:szCs w:val="32"/>
        </w:rPr>
        <w:t>%，主要原因：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单位人员减少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</w:rPr>
        <w:t>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,与2017年相比无变化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温县农林局</w:t>
      </w:r>
      <w:r>
        <w:rPr>
          <w:rFonts w:hint="eastAsia" w:ascii="仿宋_GB2312" w:eastAsia="仿宋_GB2312"/>
          <w:color w:val="000000"/>
          <w:sz w:val="32"/>
          <w:szCs w:val="32"/>
        </w:rPr>
        <w:t>2018年一般公共预算支出年初预算为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1545.3</w:t>
      </w:r>
      <w:r>
        <w:rPr>
          <w:rFonts w:hint="eastAsia" w:ascii="仿宋_GB2312" w:eastAsia="仿宋_GB2312"/>
          <w:color w:val="000000"/>
          <w:sz w:val="32"/>
          <w:szCs w:val="32"/>
        </w:rPr>
        <w:t>万元。主要用于以下方面：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科学技术支出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9.15万元</w:t>
      </w:r>
      <w:r>
        <w:rPr>
          <w:rFonts w:hint="eastAsia" w:ascii="仿宋_GB2312" w:eastAsia="仿宋_GB2312"/>
          <w:color w:val="000000"/>
          <w:sz w:val="32"/>
          <w:szCs w:val="32"/>
        </w:rPr>
        <w:t>，占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0.59</w:t>
      </w:r>
      <w:r>
        <w:rPr>
          <w:rFonts w:hint="eastAsia" w:ascii="仿宋_GB2312" w:eastAsia="仿宋_GB2312"/>
          <w:color w:val="000000"/>
          <w:sz w:val="32"/>
          <w:szCs w:val="32"/>
        </w:rPr>
        <w:t>%；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社会保障和就业支出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162.04</w:t>
      </w:r>
      <w:r>
        <w:rPr>
          <w:rFonts w:hint="eastAsia" w:ascii="仿宋_GB2312" w:eastAsia="仿宋_GB2312"/>
          <w:color w:val="000000"/>
          <w:sz w:val="32"/>
          <w:szCs w:val="32"/>
        </w:rPr>
        <w:t>万元，占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10.49</w:t>
      </w:r>
      <w:r>
        <w:rPr>
          <w:rFonts w:hint="eastAsia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；医疗卫生与计划生育支出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57.33万元，占3.71%；农林水支出1316.78万元，占85.21%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温县农林局</w:t>
      </w:r>
      <w:r>
        <w:rPr>
          <w:rFonts w:hint="eastAsia" w:ascii="仿宋_GB2312" w:eastAsia="仿宋_GB2312"/>
          <w:color w:val="000000"/>
          <w:sz w:val="32"/>
          <w:szCs w:val="32"/>
        </w:rPr>
        <w:t>2018年一般公共预算基本支出1103.75万元，其中：人员经费1054.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5万元，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color w:val="000000"/>
          <w:sz w:val="32"/>
          <w:szCs w:val="32"/>
        </w:rPr>
        <w:t>基本工资、津贴补贴、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伙食补助费</w:t>
      </w:r>
      <w:r>
        <w:rPr>
          <w:rFonts w:hint="eastAsia" w:ascii="仿宋_GB2312" w:eastAsia="仿宋_GB2312"/>
          <w:color w:val="000000"/>
          <w:sz w:val="32"/>
          <w:szCs w:val="32"/>
        </w:rPr>
        <w:t>、绩效工资、机关事业单位基本养老保险缴费、医疗保险缴费、其他社会保障缴费、其他工资福利支出；公用经费49.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0万元，主要包括：办公费、水费、电费、邮电费、物业管理费、差旅费、维修（护）费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公务接待费、公务用车运行维护费、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其他交通费用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温县农林局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，增长0%。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与2017年预算数持平，增长0%。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4.7万元，主要用于下乡开展农业技术指导，森林防火，护林，农林畜执法检查，农林病虫害防治等用车费用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比2017年减少23.8万元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，主要原因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进一步树立过紧日子的思想，严格控制三公经费支出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。降低83.5%。</w:t>
      </w:r>
    </w:p>
    <w:p>
      <w:pPr>
        <w:numPr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比2017年减少7万元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主要原因贯彻厉行节约反对浪费的原则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，公务活动减少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。降低70%。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1545.3万元，其中人员经费支出1054.35万元，公用经费支出49.4万元，支出项目共17个，支出总额441.55万元，其中预算支出30万元及以上应申报绩效的项目1个，支出总额115万元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default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粮改饲试点项目115万元，绩效目标是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综合考虑草食畜牧业发展现状和潜力，以畜定需、以养定种，合理确定粮改饲种植面积，确保生产的饲草销得出、用得掉、效益好</w:t>
      </w:r>
      <w:r>
        <w:rPr>
          <w:rFonts w:hint="default" w:ascii="宋体" w:hAnsi="宋体"/>
          <w:sz w:val="24"/>
        </w:rPr>
        <w:t>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2017年期末，农林部门固定资产总额1154.41万元，其中，房屋建筑物670.49万元，车辆209.25万元。共有车辆15辆，其中：一般公务用车13辆，执法执勤车2辆；单价50万元以上通用设备0台（套），单位价值100万元以上专用设备0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宋体" w:hAnsi="宋体"/>
          <w:sz w:val="24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八、养殖环节生猪无害化处理：在养殖环节中对病死猪进行无害化处理的养殖户和企业的补助资金。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九、重大动物疫病集中免疫：对我县动物疫病集中免疫、防疫物资储备、“两病防控”等的工作经费。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十、农产品安全监测：对我县农产品抽样、监测等工作的经费。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温县农林局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singleLevel"/>
    <w:tmpl w:val="0000000A"/>
    <w:lvl w:ilvl="0" w:tentative="1">
      <w:start w:val="1"/>
      <w:numFmt w:val="chineseCounting"/>
      <w:suff w:val="nothing"/>
      <w:lvlText w:val="(%1）"/>
      <w:lvlJc w:val="left"/>
    </w:lvl>
  </w:abstractNum>
  <w:abstractNum w:abstractNumId="7">
    <w:nsid w:val="00000007"/>
    <w:multiLevelType w:val="singleLevel"/>
    <w:tmpl w:val="00000007"/>
    <w:lvl w:ilvl="0" w:tentative="1">
      <w:start w:val="1"/>
      <w:numFmt w:val="chineseCounting"/>
      <w:suff w:val="nothing"/>
      <w:lvlText w:val="（%1）"/>
      <w:lvlJc w:val="left"/>
    </w:lvl>
  </w:abstractNum>
  <w:abstractNum w:abstractNumId="9">
    <w:nsid w:val="00000009"/>
    <w:multiLevelType w:val="singleLevel"/>
    <w:tmpl w:val="00000009"/>
    <w:lvl w:ilvl="0" w:tentative="1">
      <w:start w:val="1"/>
      <w:numFmt w:val="chineseCounting"/>
      <w:suff w:val="nothing"/>
      <w:lvlText w:val="%1、"/>
      <w:lvlJc w:val="left"/>
    </w:lvl>
  </w:abstractNum>
  <w:abstractNum w:abstractNumId="8">
    <w:nsid w:val="00000008"/>
    <w:multiLevelType w:val="singleLevel"/>
    <w:tmpl w:val="00000008"/>
    <w:lvl w:ilvl="0" w:tentative="1">
      <w:start w:val="2"/>
      <w:numFmt w:val="chineseCounting"/>
      <w:suff w:val="nothing"/>
      <w:lvlText w:val="（%1）"/>
      <w:lvlJc w:val="left"/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</w:style>
  <w:style w:type="paragraph" w:customStyle="1" w:styleId="3">
    <w:name w:val="p0"/>
    <w:basedOn w:val="1"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2018-01-05T01:29:00Z</dcterms:created>
  <dc:creator>Administrator</dc:creator>
  <cp:lastModifiedBy>Administrator</cp:lastModifiedBy>
  <cp:lastPrinted>2018-03-09T23:54:00Z</cp:lastPrinted>
  <dcterms:modified xsi:type="dcterms:W3CDTF">2018-11-08T08:13:26Z</dcterms:modified>
  <dc:title>崔龙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