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商务局</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十一、项目绩效目标申报表</w:t>
      </w:r>
      <w:bookmarkStart w:id="0" w:name="_GoBack"/>
      <w:bookmarkEnd w:id="0"/>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商务局</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numId w:val="0"/>
        </w:numPr>
        <w:kinsoku w:val="0"/>
        <w:wordWrap/>
        <w:overflowPunct w:val="0"/>
        <w:adjustRightInd w:val="0"/>
        <w:snapToGrid w:val="0"/>
        <w:spacing w:before="0" w:after="0" w:line="600" w:lineRule="exact"/>
        <w:ind w:leftChars="200" w:right="3569"/>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（一）机构设置情况</w:t>
      </w:r>
    </w:p>
    <w:p>
      <w:pPr>
        <w:ind w:firstLine="640" w:firstLineChars="200"/>
        <w:rPr>
          <w:rFonts w:hint="eastAsia" w:ascii="仿宋_GB2312" w:hAnsi="Adobe 仿宋 Std R" w:eastAsia="仿宋_GB2312" w:cs="宋体"/>
          <w:kern w:val="0"/>
          <w:sz w:val="32"/>
          <w:szCs w:val="32"/>
          <w:lang w:val="en-US" w:eastAsia="zh-CN"/>
        </w:rPr>
      </w:pPr>
      <w:r>
        <w:rPr>
          <w:rFonts w:hint="eastAsia" w:ascii="仿宋_GB2312" w:hAnsi="Adobe 仿宋 Std R" w:eastAsia="仿宋_GB2312" w:cs="宋体"/>
          <w:kern w:val="0"/>
          <w:sz w:val="32"/>
          <w:szCs w:val="32"/>
          <w:lang w:val="en-US" w:eastAsia="zh-CN"/>
        </w:rPr>
        <w:t>1、办公室2、外商投资促进与管理科3、招商引资科4、流通业发展科5、市场体系建设与运行调节科6、市场秩序科7、电子商务科。</w:t>
      </w:r>
    </w:p>
    <w:p>
      <w:pPr>
        <w:kinsoku w:val="0"/>
        <w:wordWrap/>
        <w:overflowPunct w:val="0"/>
        <w:adjustRightInd w:val="0"/>
        <w:snapToGrid w:val="0"/>
        <w:spacing w:before="0" w:after="0" w:line="600" w:lineRule="exact"/>
        <w:ind w:right="3569"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（二）部门职责</w:t>
      </w:r>
    </w:p>
    <w:p>
      <w:pP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主要职责是：</w:t>
      </w:r>
      <w:r>
        <w:rPr>
          <w:rFonts w:hint="eastAsia" w:ascii="仿宋_GB2312" w:hAnsi="Adobe 仿宋 Std R" w:eastAsia="仿宋_GB2312" w:cs="宋体"/>
          <w:kern w:val="0"/>
          <w:sz w:val="32"/>
          <w:szCs w:val="32"/>
          <w:lang w:eastAsia="zh-CN"/>
        </w:rPr>
        <w:t>拟订全县相应的发展规划以及规定、办法和措施，研究流通体制改革并提出建议；负责推进全县流通产业结构调整；拟订全县国内贸易发展规划；拟订全县市场运行、流通秩序的政策；承担组织实施全县重要消费品市场调控和重要生产资料流通管理的责任；拟订促进外贸增长方式转变的政策措施；拟订全县外商投资政策并组织实施，指导全县外商投资工作；组织、申报并负责以温县名义在境内外举办的大型经贸交易会、洽谈会、展销会等商贸活动等。</w:t>
      </w:r>
    </w:p>
    <w:p>
      <w:pPr>
        <w:kinsoku w:val="0"/>
        <w:wordWrap/>
        <w:overflowPunct w:val="0"/>
        <w:adjustRightInd w:val="0"/>
        <w:snapToGrid w:val="0"/>
        <w:spacing w:before="0" w:after="0" w:line="600" w:lineRule="exact"/>
        <w:ind w:right="3569"/>
        <w:jc w:val="left"/>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rPr>
        <w:t>二、部门预算单位构成</w:t>
      </w:r>
    </w:p>
    <w:p>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我单位有二级预算单位 3个，本预算为汇总预算，纳入我单位2018年部门预算编报范围的二级单位有：</w:t>
      </w:r>
    </w:p>
    <w:p>
      <w:pPr>
        <w:numPr>
          <w:ilvl w:val="0"/>
          <w:numId w:val="2"/>
        </w:numPr>
        <w:ind w:firstLine="640" w:firstLineChars="200"/>
        <w:rPr>
          <w:rFonts w:hint="eastAsia" w:ascii="仿宋_GB2312" w:hAnsi="Adobe 仿宋 Std R" w:eastAsia="仿宋_GB2312" w:cs="宋体"/>
          <w:b w:val="0"/>
          <w:bCs w:val="0"/>
          <w:kern w:val="0"/>
          <w:sz w:val="32"/>
          <w:szCs w:val="32"/>
          <w:lang w:val="en-US" w:eastAsia="zh-CN" w:bidi="ar-SA"/>
        </w:rPr>
      </w:pPr>
      <w:r>
        <w:rPr>
          <w:rFonts w:hint="eastAsia" w:ascii="仿宋_GB2312" w:hAnsi="Adobe 仿宋 Std R" w:eastAsia="仿宋_GB2312" w:cs="宋体"/>
          <w:b w:val="0"/>
          <w:bCs w:val="0"/>
          <w:kern w:val="0"/>
          <w:sz w:val="32"/>
          <w:szCs w:val="32"/>
          <w:lang w:val="en-US" w:eastAsia="zh-CN" w:bidi="ar-SA"/>
        </w:rPr>
        <w:t>温县外向型经济服务中心</w:t>
      </w:r>
    </w:p>
    <w:p>
      <w:pPr>
        <w:numPr>
          <w:ilvl w:val="0"/>
          <w:numId w:val="2"/>
        </w:numPr>
        <w:ind w:firstLine="640" w:firstLineChars="200"/>
        <w:rPr>
          <w:rFonts w:hint="eastAsia" w:ascii="仿宋_GB2312" w:hAnsi="仿宋_GB2312" w:eastAsia="仿宋_GB2312" w:cs="仿宋_GB2312"/>
          <w:sz w:val="32"/>
          <w:szCs w:val="32"/>
          <w:lang w:val="en-US"/>
        </w:rPr>
      </w:pPr>
      <w:r>
        <w:rPr>
          <w:rFonts w:hint="eastAsia" w:ascii="仿宋_GB2312" w:hAnsi="Adobe 仿宋 Std R" w:eastAsia="仿宋_GB2312" w:cs="宋体"/>
          <w:b w:val="0"/>
          <w:bCs w:val="0"/>
          <w:kern w:val="0"/>
          <w:sz w:val="32"/>
          <w:szCs w:val="32"/>
          <w:lang w:val="en-US" w:eastAsia="zh-CN" w:bidi="ar-SA"/>
        </w:rPr>
        <w:t>温县市场发展服务中心</w:t>
      </w:r>
    </w:p>
    <w:p>
      <w:pPr>
        <w:numPr>
          <w:ilvl w:val="0"/>
          <w:numId w:val="2"/>
        </w:numPr>
        <w:ind w:firstLine="640" w:firstLineChars="200"/>
        <w:rPr>
          <w:rFonts w:hint="eastAsia" w:ascii="仿宋_GB2312" w:hAnsi="仿宋_GB2312" w:eastAsia="仿宋_GB2312" w:cs="仿宋_GB2312"/>
          <w:sz w:val="32"/>
          <w:szCs w:val="32"/>
          <w:lang w:val="en-US"/>
        </w:rPr>
      </w:pPr>
      <w:r>
        <w:rPr>
          <w:rFonts w:hint="eastAsia" w:ascii="仿宋_GB2312" w:hAnsi="Adobe 仿宋 Std R" w:eastAsia="仿宋_GB2312" w:cs="宋体"/>
          <w:b w:val="0"/>
          <w:bCs w:val="0"/>
          <w:kern w:val="0"/>
          <w:sz w:val="32"/>
          <w:szCs w:val="32"/>
          <w:lang w:val="en-US" w:eastAsia="zh-CN" w:bidi="ar-SA"/>
        </w:rPr>
        <w:t>温县商务稽查大队</w:t>
      </w:r>
      <w:r>
        <w:rPr>
          <w:rFonts w:hint="eastAsia" w:ascii="仿宋_GB2312" w:hAnsi="仿宋_GB2312" w:eastAsia="仿宋_GB2312" w:cs="仿宋_GB2312"/>
          <w:color w:val="000000"/>
          <w:kern w:val="0"/>
          <w:sz w:val="32"/>
          <w:szCs w:val="32"/>
          <w:lang w:val="en-US" w:eastAsia="zh-CN"/>
        </w:rPr>
        <w:t xml:space="preserve"> </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242.82</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242.82</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人员减少</w:t>
      </w:r>
      <w:r>
        <w:rPr>
          <w:rFonts w:hint="eastAsia" w:ascii="仿宋_GB2312" w:hAnsi="仿宋_GB2312" w:eastAsia="仿宋_GB2312" w:cs="仿宋_GB2312"/>
          <w:sz w:val="32"/>
          <w:szCs w:val="32"/>
          <w:lang w:val="en-US" w:eastAsia="zh-CN"/>
        </w:rPr>
        <w:t>。</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 xml:space="preserve"> 242.82</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242.82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234.82万元，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 xml:space="preserve"> 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242.82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229.10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94.35%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13.72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5.65%</w:t>
      </w:r>
      <w:r>
        <w:rPr>
          <w:rFonts w:hint="eastAsia" w:ascii="仿宋_GB2312" w:hAnsi="仿宋_GB2312" w:eastAsia="仿宋_GB2312" w:cs="仿宋_GB2312"/>
          <w:sz w:val="32"/>
          <w:szCs w:val="32"/>
        </w:rPr>
        <w:t>。</w:t>
      </w:r>
    </w:p>
    <w:p>
      <w:pPr>
        <w:pStyle w:val="3"/>
        <w:spacing w:line="600" w:lineRule="atLeast"/>
        <w:ind w:firstLine="640"/>
        <w:rPr>
          <w:rFonts w:hint="default" w:ascii="黑体" w:hAnsi="黑体" w:eastAsia="黑体"/>
          <w:sz w:val="32"/>
        </w:rPr>
      </w:pPr>
      <w:r>
        <w:rPr>
          <w:rFonts w:hint="eastAsia" w:ascii="黑体" w:hAnsi="黑体" w:eastAsia="黑体"/>
          <w:sz w:val="32"/>
        </w:rPr>
        <w:t>四、财政拨款收入支出预算总体情况说明</w:t>
      </w:r>
    </w:p>
    <w:p>
      <w:pPr>
        <w:pStyle w:val="3"/>
        <w:spacing w:line="600" w:lineRule="atLeast"/>
        <w:ind w:firstLine="640"/>
        <w:rPr>
          <w:rFonts w:hint="default" w:ascii="仿宋_GB2312" w:eastAsia="仿宋_GB2312"/>
          <w:sz w:val="32"/>
        </w:rPr>
      </w:pPr>
      <w:r>
        <w:rPr>
          <w:rFonts w:hint="eastAsia" w:ascii="仿宋_GB2312" w:eastAsia="仿宋_GB2312"/>
          <w:sz w:val="32"/>
        </w:rPr>
        <w:t>商务局2018年一般公共预算收支预算242.82万元。政府性基金收支预算0万元，与 2017年相比，一般公共预算收支预算减少0.65万元，降低0.3%，主要原因：人员经费细微变化；</w:t>
      </w:r>
      <w:r>
        <w:rPr>
          <w:rFonts w:hint="eastAsia" w:ascii="仿宋_GB2312" w:eastAsia="仿宋_GB2312"/>
          <w:sz w:val="32"/>
          <w:szCs w:val="32"/>
        </w:rPr>
        <w:t>政府性基金收支增加0万元，增长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2017比保持一致，无变化</w:t>
      </w:r>
      <w:r>
        <w:rPr>
          <w:rFonts w:hint="eastAsia" w:ascii="仿宋_GB2312" w:eastAsia="仿宋_GB2312"/>
          <w:sz w:val="32"/>
          <w:szCs w:val="32"/>
        </w:rPr>
        <w:t>。</w:t>
      </w:r>
    </w:p>
    <w:p>
      <w:pPr>
        <w:pStyle w:val="3"/>
        <w:spacing w:line="600" w:lineRule="atLeast"/>
        <w:ind w:firstLine="640"/>
        <w:rPr>
          <w:rFonts w:hint="default" w:ascii="黑体" w:hAnsi="黑体" w:eastAsia="黑体"/>
          <w:sz w:val="32"/>
        </w:rPr>
      </w:pPr>
      <w:r>
        <w:rPr>
          <w:rFonts w:hint="eastAsia" w:ascii="黑体" w:hAnsi="黑体" w:eastAsia="黑体"/>
          <w:sz w:val="32"/>
        </w:rPr>
        <w:t>五、一般公共预算支出预算情况说明</w:t>
      </w:r>
    </w:p>
    <w:p>
      <w:pPr>
        <w:pStyle w:val="3"/>
        <w:spacing w:line="600" w:lineRule="atLeast"/>
        <w:ind w:firstLine="640"/>
        <w:rPr>
          <w:rFonts w:hint="default" w:ascii="仿宋_GB2312" w:eastAsia="仿宋_GB2312"/>
          <w:sz w:val="32"/>
        </w:rPr>
      </w:pPr>
      <w:r>
        <w:rPr>
          <w:rFonts w:hint="eastAsia" w:ascii="仿宋_GB2312" w:eastAsia="仿宋_GB2312"/>
          <w:sz w:val="32"/>
        </w:rPr>
        <w:t>商务局2018年一般公共预算支出年初预算为242.82万元。主要用于以下方面：一般公共服务支出199.98万元，占82%；社会保障和就业支出31.6万元，占13%；医疗卫生与计划生育支出11.24万元，占5%；</w:t>
      </w:r>
    </w:p>
    <w:p>
      <w:pPr>
        <w:pStyle w:val="3"/>
        <w:spacing w:line="600" w:lineRule="atLeast"/>
        <w:ind w:firstLine="640"/>
        <w:rPr>
          <w:rFonts w:hint="default" w:ascii="黑体" w:hAnsi="黑体" w:eastAsia="黑体"/>
          <w:sz w:val="32"/>
        </w:rPr>
      </w:pPr>
      <w:r>
        <w:rPr>
          <w:rFonts w:hint="eastAsia" w:ascii="黑体" w:hAnsi="黑体" w:eastAsia="黑体"/>
          <w:sz w:val="32"/>
        </w:rPr>
        <w:t>六、一般公共预算基本支出预算情况说明</w:t>
      </w:r>
    </w:p>
    <w:p>
      <w:pPr>
        <w:pStyle w:val="3"/>
        <w:spacing w:line="600" w:lineRule="atLeast"/>
        <w:ind w:firstLine="640"/>
        <w:rPr>
          <w:rFonts w:hint="default" w:ascii="仿宋_GB2312" w:eastAsia="仿宋_GB2312"/>
          <w:sz w:val="32"/>
        </w:rPr>
      </w:pPr>
      <w:r>
        <w:rPr>
          <w:rFonts w:hint="eastAsia" w:ascii="仿宋_GB2312" w:eastAsia="仿宋_GB2312"/>
          <w:sz w:val="32"/>
        </w:rPr>
        <w:t>商务局2018年一般公共预算基本支出229.1万元，其中：人员经费212.94万元，主要用于基本工资、津贴补贴、奖金、绩效工资、机关事业单位基本养老保险缴费、其他工资福利支出；公用经费16.16万元，主要包括：办公费、印刷费、水费、电费、邮电费、差旅费。</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保持一致，</w:t>
      </w:r>
      <w:r>
        <w:rPr>
          <w:rFonts w:hint="eastAsia" w:ascii="仿宋_GB2312" w:hAnsi="仿宋_GB2312" w:eastAsia="仿宋_GB2312" w:cs="仿宋_GB2312"/>
          <w:color w:val="auto"/>
          <w:sz w:val="32"/>
          <w:szCs w:val="32"/>
          <w:lang w:val="en-US" w:eastAsia="zh-CN"/>
        </w:rPr>
        <w:t>增长0%</w:t>
      </w:r>
      <w:r>
        <w:rPr>
          <w:rFonts w:hint="eastAsia" w:ascii="仿宋_GB2312" w:hAnsi="仿宋_GB2312" w:eastAsia="仿宋_GB2312" w:cs="仿宋_GB2312"/>
          <w:sz w:val="32"/>
          <w:szCs w:val="32"/>
        </w:rPr>
        <w:t>。</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b/>
          <w:spacing w:val="-1"/>
          <w:kern w:val="0"/>
          <w:sz w:val="32"/>
          <w:szCs w:val="32"/>
          <w:lang w:val="en-US" w:eastAsia="zh-CN"/>
        </w:rPr>
        <w:t>3.2</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保持一致，</w:t>
      </w:r>
      <w:r>
        <w:rPr>
          <w:rFonts w:hint="eastAsia" w:ascii="仿宋_GB2312" w:hAnsi="仿宋_GB2312" w:eastAsia="仿宋_GB2312" w:cs="仿宋_GB2312"/>
          <w:color w:val="auto"/>
          <w:sz w:val="32"/>
          <w:szCs w:val="32"/>
          <w:lang w:val="en-US" w:eastAsia="zh-CN"/>
        </w:rPr>
        <w:t>增长0%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3.2万元，主要用于车辆运行</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比2017年减少0.8万元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压缩精简机关开支</w:t>
      </w:r>
      <w:r>
        <w:rPr>
          <w:rFonts w:hint="eastAsia" w:ascii="仿宋_GB2312" w:hAnsi="仿宋_GB2312" w:eastAsia="仿宋_GB2312" w:cs="仿宋_GB2312"/>
          <w:sz w:val="32"/>
          <w:szCs w:val="32"/>
          <w:lang w:val="en-US" w:eastAsia="zh-CN"/>
        </w:rPr>
        <w:t>。</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b/>
          <w:spacing w:val="-1"/>
          <w:kern w:val="0"/>
          <w:sz w:val="32"/>
          <w:szCs w:val="32"/>
          <w:lang w:val="en-US" w:eastAsia="zh-CN"/>
        </w:rPr>
        <w:t>2.2</w:t>
      </w:r>
      <w:r>
        <w:rPr>
          <w:rFonts w:hint="eastAsia" w:ascii="仿宋_GB2312" w:hAnsi="仿宋_GB2312" w:eastAsia="仿宋_GB2312" w:cs="仿宋_GB2312"/>
          <w:sz w:val="32"/>
          <w:szCs w:val="32"/>
        </w:rPr>
        <w:t>万元，主要用于按规定开支的各类公务接待支出。</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比2017年减少0.8万元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26.7%。</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压缩精简机关开支</w:t>
      </w:r>
      <w:r>
        <w:rPr>
          <w:rFonts w:hint="eastAsia" w:ascii="仿宋_GB2312" w:hAnsi="仿宋_GB2312" w:eastAsia="仿宋_GB2312" w:cs="仿宋_GB2312"/>
          <w:sz w:val="32"/>
          <w:szCs w:val="32"/>
          <w:lang w:val="en-US" w:eastAsia="zh-CN"/>
        </w:rPr>
        <w:t>。</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kern w:val="0"/>
          <w:sz w:val="32"/>
          <w:szCs w:val="32"/>
        </w:rPr>
        <w:t>预</w:t>
      </w:r>
      <w:r>
        <w:rPr>
          <w:rFonts w:hint="eastAsia" w:ascii="黑体" w:hAnsi="黑体" w:eastAsia="黑体" w:cs="黑体"/>
          <w:kern w:val="0"/>
          <w:sz w:val="32"/>
          <w:szCs w:val="32"/>
        </w:rPr>
        <w:t>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w:t>
      </w:r>
      <w:r>
        <w:rPr>
          <w:rFonts w:hint="eastAsia" w:ascii="黑体" w:hAnsi="黑体" w:eastAsia="黑体" w:cs="黑体"/>
          <w:kern w:val="0"/>
          <w:sz w:val="32"/>
          <w:szCs w:val="32"/>
          <w:lang w:eastAsia="zh-CN"/>
        </w:rPr>
        <w:t>有资本经营</w:t>
      </w:r>
      <w:r>
        <w:rPr>
          <w:rFonts w:hint="eastAsia" w:ascii="黑体" w:hAnsi="黑体" w:eastAsia="黑体" w:cs="黑体"/>
          <w:kern w:val="0"/>
          <w:sz w:val="32"/>
          <w:szCs w:val="32"/>
        </w:rPr>
        <w:t>预算支出</w:t>
      </w:r>
      <w:r>
        <w:rPr>
          <w:rFonts w:hint="eastAsia" w:ascii="黑体" w:hAnsi="黑体" w:eastAsia="黑体"/>
          <w:kern w:val="0"/>
          <w:sz w:val="32"/>
          <w:szCs w:val="32"/>
        </w:rPr>
        <w:t>预</w:t>
      </w:r>
      <w:r>
        <w:rPr>
          <w:rFonts w:hint="eastAsia" w:ascii="黑体" w:hAnsi="黑体" w:eastAsia="黑体" w:cs="黑体"/>
          <w:kern w:val="0"/>
          <w:sz w:val="32"/>
          <w:szCs w:val="32"/>
        </w:rPr>
        <w:t>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预算16.16万元，主要保障机关机构正常运转及正常履职需要的办公费、水电费、物业费、维修费、差旅费等支出。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年政府采购预算安排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numPr>
          <w:numId w:val="0"/>
        </w:numPr>
        <w:wordWrap/>
        <w:spacing w:before="0" w:after="0" w:line="600" w:lineRule="exact"/>
        <w:ind w:left="0" w:leftChars="0" w:firstLine="560" w:firstLineChars="200"/>
        <w:textAlignment w:val="auto"/>
        <w:rPr>
          <w:rFonts w:hint="eastAsia" w:ascii="仿宋_GB2312" w:hAnsi="仿宋_GB2312" w:eastAsia="仿宋_GB2312" w:cs="仿宋_GB2312"/>
          <w:sz w:val="32"/>
          <w:szCs w:val="32"/>
          <w:lang w:val="en-US" w:eastAsia="zh-CN"/>
        </w:rPr>
      </w:pPr>
      <w:r>
        <w:rPr>
          <w:rFonts w:hint="eastAsia"/>
          <w:color w:val="auto"/>
          <w:sz w:val="28"/>
          <w:szCs w:val="28"/>
          <w:lang w:val="en-US" w:eastAsia="zh-CN"/>
        </w:rPr>
        <w:t xml:space="preserve">  </w:t>
      </w:r>
      <w:r>
        <w:rPr>
          <w:rFonts w:hint="eastAsia" w:ascii="仿宋_GB2312" w:hAnsi="仿宋_GB2312" w:eastAsia="仿宋_GB2312" w:cs="仿宋_GB2312"/>
          <w:color w:val="auto"/>
          <w:sz w:val="32"/>
          <w:szCs w:val="32"/>
          <w:lang w:val="en-US" w:eastAsia="zh-CN"/>
        </w:rPr>
        <w:t>2017年，我单位未开展绩效评价。</w:t>
      </w:r>
      <w:r>
        <w:rPr>
          <w:rFonts w:hint="eastAsia" w:ascii="仿宋_GB2312" w:hAnsi="仿宋_GB2312" w:eastAsia="仿宋_GB2312" w:cs="仿宋_GB2312"/>
          <w:sz w:val="32"/>
          <w:szCs w:val="32"/>
          <w:lang w:val="en-US" w:eastAsia="zh-CN"/>
        </w:rPr>
        <w:t>2018年，我单位部门预算纳入绩效管理的支出总额为242.82万元，其中人员经费支出212.94万元，公用经费支出16.16万元，支出项目共3个，支出总额13.72万元，其中预算支出30万元及以上应申报绩效的项目 0个，支出总额0万元。</w:t>
      </w:r>
    </w:p>
    <w:p>
      <w:pPr>
        <w:pStyle w:val="3"/>
        <w:spacing w:line="600" w:lineRule="atLeast"/>
        <w:ind w:left="420"/>
        <w:rPr>
          <w:rFonts w:hint="default" w:ascii="黑体" w:hAnsi="黑体" w:eastAsia="黑体"/>
          <w:sz w:val="32"/>
        </w:rPr>
      </w:pPr>
      <w:r>
        <w:rPr>
          <w:rFonts w:hint="eastAsia" w:ascii="黑体" w:hAnsi="黑体" w:eastAsia="黑体"/>
          <w:sz w:val="32"/>
        </w:rPr>
        <w:t>（四）国有资产占用情况</w:t>
      </w:r>
    </w:p>
    <w:p>
      <w:pPr>
        <w:pStyle w:val="3"/>
        <w:spacing w:line="600" w:lineRule="atLeast"/>
        <w:rPr>
          <w:rFonts w:hint="default" w:ascii="仿宋_GB2312" w:eastAsia="仿宋_GB2312"/>
          <w:sz w:val="32"/>
        </w:rPr>
      </w:pPr>
      <w:r>
        <w:rPr>
          <w:rFonts w:hint="eastAsia" w:ascii="仿宋_GB2312" w:eastAsia="仿宋_GB2312"/>
          <w:sz w:val="32"/>
        </w:rPr>
        <w:t xml:space="preserve">    2017年期末，商务局固定资产总额99.1万元，其中，房屋建筑物0万元，车辆31.06万元。共有车辆4辆，其中：一般公务用车1辆，执法执勤车3辆；单价50万元以上通用设备0台（套），单位价值100万元以上专用设备0台（套）。</w:t>
      </w:r>
    </w:p>
    <w:p>
      <w:pPr>
        <w:numPr>
          <w:numId w:val="0"/>
        </w:numPr>
        <w:wordWrap/>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insoku w:val="0"/>
        <w:wordWrap/>
        <w:overflowPunct w:val="0"/>
        <w:autoSpaceDE w:val="0"/>
        <w:autoSpaceDN w:val="0"/>
        <w:adjustRightInd w:val="0"/>
        <w:snapToGrid w:val="0"/>
        <w:spacing w:before="0" w:after="0" w:line="600" w:lineRule="exact"/>
        <w:ind w:left="0" w:leftChars="0" w:firstLine="643" w:firstLineChars="200"/>
        <w:textAlignment w:val="auto"/>
        <w:rPr>
          <w:rFonts w:hint="eastAsia" w:ascii="仿宋_GB2312" w:hAnsi="仿宋_GB2312" w:eastAsia="仿宋_GB2312" w:cs="仿宋_GB2312"/>
          <w:b/>
          <w:kern w:val="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八、电子商务：电子商务是以信息网络技术为手段，以商品交换为中心的商务活动；也可理解为在互联网（Internet）、企业内部网（Intranet）和增值网（VAN，Value Added Network）上以电子交易方式进行交易活动和相关服务的活动，是传统商业活动各环节的电子化、网络化、信息化。</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温县商务局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8187442">
    <w:nsid w:val="0B378332"/>
    <w:multiLevelType w:val="singleLevel"/>
    <w:tmpl w:val="0B378332"/>
    <w:lvl w:ilvl="0" w:tentative="1">
      <w:start w:val="1"/>
      <w:numFmt w:val="decimal"/>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num w:numId="1">
    <w:abstractNumId w:val="1517907436"/>
  </w:num>
  <w:num w:numId="2">
    <w:abstractNumId w:val="188187442"/>
  </w:num>
  <w:num w:numId="3">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paragraph" w:customStyle="1" w:styleId="3">
    <w:name w:val="p0"/>
    <w:basedOn w:val="1"/>
    <w:unhideWhenUsed/>
    <w:qFormat/>
    <w:uiPriority w:val="99"/>
    <w:pPr>
      <w:widowControl/>
    </w:pPr>
    <w:rPr>
      <w:rFonts w:hint="eastAsia" w:ascii="Calibri" w:hAnsi="Calibri"/>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Administrator</cp:lastModifiedBy>
  <cp:lastPrinted>2018-03-09T07:54:00Z</cp:lastPrinted>
  <dcterms:modified xsi:type="dcterms:W3CDTF">2018-11-08T06:47:58Z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