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2018年度温县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社会保险医院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2018年度部门预算表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社会保险医院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left="0" w:leftChars="0" w:right="-94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是一所二级甲等医院。现有职工365人，床位编制360张，设十个病区和重症监护科、介入诊疗中心、口腔诊疗中心，原址温泉路分院设门诊和综合病区。                 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3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 、康复、教学、急救和预防保健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3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600" w:lineRule="exact"/>
        <w:ind w:left="0" w:leftChars="0" w:right="3569" w:firstLine="640" w:firstLineChars="200"/>
        <w:jc w:val="lef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200" w:right="0" w:firstLine="640" w:firstLineChars="200"/>
        <w:jc w:val="both"/>
        <w:textAlignment w:val="bottom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我单位有二级机构0个，本预算仅为本级单位预算，纳入我单位2018年部门预算编报范围为：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温县社会保险医院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医院2018年收入总计37万元，支出总计37万元，与2017年相比，收、支总计各增加1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万元，增长76.2%。主要原因：非税收入增加15万元，财政拨款增加1万元。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医院2018年收入合计37万元，其中：一般公共预算合计37万元，本级财力22万元，非税收入15万元，无上级转移支付收入，无其他收入；无政府性基金收入。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医院2018年支出合计37万元，其中：基本支出36万元，占比为97.3%；项目支出1万元，占比为2.7%。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医院2018 年“三公”经费支出预算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0万元，与2017年预算数持平。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我单位2018年没有使用政府性基金预算拨款安排的收支。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</w:rPr>
        <w:t>七、其他重要事项的情况说明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ascii="仿宋_GB2312" w:hAnsi="Calibri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2017年,我单位对0个项目进行了预算绩效评价，涉及资金0万元。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2018年，我单位部门预算纳入绩效管理的支出总额为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 0万元，支出项目共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万元，其中预算支出30万元及以上应申报绩效的项目0个，支出总额0万元。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医院2018年度部门预算表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6">
    <w:name w:val="页脚 Char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264</Words>
  <Characters>1508</Characters>
  <Lines>12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2018-11-08T07:52:23Z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