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w:t>
      </w:r>
      <w:r>
        <w:rPr>
          <w:rFonts w:hint="eastAsia" w:ascii="方正小标宋简体" w:hAnsi="方正小标宋简体" w:eastAsia="方正小标宋简体" w:cs="方正小标宋简体"/>
          <w:sz w:val="44"/>
          <w:szCs w:val="44"/>
          <w:lang w:eastAsia="zh-CN"/>
        </w:rPr>
        <w:t>妇幼保健</w:t>
      </w:r>
      <w:r>
        <w:rPr>
          <w:rFonts w:hint="eastAsia" w:ascii="方正小标宋简体" w:hAnsi="方正小标宋简体" w:eastAsia="方正小标宋简体" w:cs="方正小标宋简体"/>
          <w:sz w:val="44"/>
          <w:szCs w:val="44"/>
        </w:rPr>
        <w:t>院预算公开</w:t>
      </w:r>
    </w:p>
    <w:p>
      <w:pPr>
        <w:kinsoku w:val="0"/>
        <w:overflowPunct w:val="0"/>
        <w:adjustRightInd w:val="0"/>
        <w:snapToGrid w:val="0"/>
        <w:spacing w:line="360" w:lineRule="auto"/>
        <w:ind w:left="101" w:right="3569" w:firstLine="640"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z w:val="32"/>
          <w:szCs w:val="32"/>
        </w:rPr>
        <w:t>2018年度部门预算情况说明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2018年度部门预算表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hint="eastAsia" w:ascii="方正小标宋简体" w:hAnsi="方正小标宋简体" w:eastAsia="方正小标宋简体" w:cs="方正小标宋简体"/>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p>
    <w:p>
      <w:pPr>
        <w:wordWrap/>
        <w:adjustRightInd w:val="0"/>
        <w:snapToGrid w:val="0"/>
        <w:spacing w:before="0" w:after="0" w:line="600" w:lineRule="exact"/>
        <w:ind w:left="0" w:leftChars="0" w:firstLine="2240" w:firstLineChars="700"/>
        <w:jc w:val="both"/>
        <w:textAlignment w:val="auto"/>
        <w:rPr>
          <w:rFonts w:hint="eastAsia" w:ascii="方正小标宋简体" w:hAnsi="方正小标宋简体" w:eastAsia="方正小标宋简体" w:cs="方正小标宋简体"/>
          <w:sz w:val="32"/>
          <w:szCs w:val="32"/>
          <w:lang w:val="en-US" w:eastAsia="zh-CN"/>
        </w:rPr>
      </w:pPr>
    </w:p>
    <w:p>
      <w:pPr>
        <w:wordWrap/>
        <w:adjustRightInd w:val="0"/>
        <w:snapToGrid w:val="0"/>
        <w:spacing w:before="0" w:after="0" w:line="600" w:lineRule="exact"/>
        <w:ind w:left="0" w:leftChars="0" w:firstLine="3520" w:firstLineChars="1100"/>
        <w:jc w:val="both"/>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sz w:val="32"/>
          <w:szCs w:val="32"/>
          <w:lang w:eastAsia="zh-CN"/>
        </w:rPr>
        <w:t>温县妇幼保健院</w:t>
      </w:r>
      <w:r>
        <w:rPr>
          <w:rFonts w:hint="eastAsia" w:ascii="方正小标宋简体" w:hAnsi="方正小标宋简体" w:eastAsia="方正小标宋简体" w:cs="方正小标宋简体"/>
          <w:sz w:val="32"/>
          <w:szCs w:val="32"/>
        </w:rPr>
        <w:t>概况</w:t>
      </w: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widowControl w:val="0"/>
        <w:numPr>
          <w:ilvl w:val="0"/>
          <w:numId w:val="2"/>
        </w:numPr>
        <w:kinsoku w:val="0"/>
        <w:wordWrap/>
        <w:overflowPunct w:val="0"/>
        <w:adjustRightInd w:val="0"/>
        <w:snapToGrid w:val="0"/>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widowControl w:val="0"/>
        <w:numPr>
          <w:numId w:val="0"/>
        </w:numPr>
        <w:kinsoku w:val="0"/>
        <w:wordWrap/>
        <w:overflowPunct w:val="0"/>
        <w:adjustRightInd w:val="0"/>
        <w:snapToGrid w:val="0"/>
        <w:spacing w:line="360" w:lineRule="auto"/>
        <w:ind w:leftChars="20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县妇幼保健院内设妇产科、儿科、内科、产房、手术室、外科、化验室、放射科、B超室、口腔科、乳腺科、人流室、不孕症、药房、收费室、办公室、总务科、财务科、医务科、护理部、设备科、药剂科、公卫科等科室。人员构成情况：温县妇幼保健院预算管理单位人员共有编制117人；在职职工113人，离退休人员32人。</w:t>
      </w:r>
    </w:p>
    <w:p>
      <w:pPr>
        <w:widowControl w:val="0"/>
        <w:numPr>
          <w:numId w:val="0"/>
        </w:numPr>
        <w:kinsoku w:val="0"/>
        <w:wordWrap/>
        <w:overflowPunct w:val="0"/>
        <w:adjustRightInd w:val="0"/>
        <w:snapToGrid w:val="0"/>
        <w:spacing w:line="36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（二）部门职责</w:t>
      </w:r>
    </w:p>
    <w:p>
      <w:pPr>
        <w:widowControl w:val="0"/>
        <w:numPr>
          <w:numId w:val="0"/>
        </w:numPr>
        <w:kinsoku w:val="0"/>
        <w:wordWrap/>
        <w:overflowPunct w:val="0"/>
        <w:adjustRightInd w:val="0"/>
        <w:snapToGrid w:val="0"/>
        <w:spacing w:line="36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保健为中心，以保障生殖健康为目的，实行保健与临床相结合，面向群体，面向基层和预防为主”的妇幼卫生工作方针，围绕“保健质量、医疗质量和服务水平”的提高，科学规划，统筹发展，逐步走出一条“保健以临床为基地，临床以保健为依托”的办院道路，使温县妇幼保健院的妇幼卫生工作走在了全市乃至全省同级妇幼保健院的先进行列。</w:t>
      </w:r>
    </w:p>
    <w:p>
      <w:pPr>
        <w:numPr>
          <w:ilvl w:val="0"/>
          <w:numId w:val="1"/>
        </w:numPr>
        <w:kinsoku w:val="0"/>
        <w:overflowPunct w:val="0"/>
        <w:adjustRightInd w:val="0"/>
        <w:snapToGrid w:val="0"/>
        <w:spacing w:line="600" w:lineRule="exact"/>
        <w:ind w:left="0" w:leftChars="0" w:right="3569" w:firstLine="640" w:firstLineChars="200"/>
        <w:jc w:val="left"/>
        <w:outlineLvl w:val="0"/>
        <w:rPr>
          <w:rFonts w:hint="eastAsia" w:ascii="黑体" w:hAnsi="黑体" w:eastAsia="黑体"/>
          <w:sz w:val="32"/>
          <w:szCs w:val="32"/>
        </w:rPr>
      </w:pPr>
      <w:r>
        <w:rPr>
          <w:rFonts w:hint="eastAsia" w:ascii="黑体" w:hAnsi="黑体" w:eastAsia="黑体"/>
          <w:sz w:val="32"/>
          <w:szCs w:val="32"/>
        </w:rPr>
        <w:t>部门预算单位构成</w:t>
      </w:r>
    </w:p>
    <w:p>
      <w:pPr>
        <w:widowControl/>
        <w:numPr>
          <w:numId w:val="0"/>
        </w:numPr>
        <w:shd w:val="clear" w:color="auto" w:fill="FFFFFF"/>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auto"/>
          <w:sz w:val="32"/>
          <w:szCs w:val="32"/>
          <w:lang w:val="en-US" w:eastAsia="zh-CN"/>
        </w:rPr>
        <w:t>我单位有二级机构0个，本预算仅为本级单位预算，纳入我单位2018年部门预算编报范围为：</w:t>
      </w:r>
      <w:r>
        <w:rPr>
          <w:rFonts w:hint="eastAsia" w:ascii="仿宋_GB2312" w:hAnsi="仿宋_GB2312" w:eastAsia="仿宋_GB2312" w:cs="仿宋_GB2312"/>
          <w:sz w:val="32"/>
          <w:szCs w:val="32"/>
          <w:lang w:val="en-US" w:eastAsia="zh-CN"/>
        </w:rPr>
        <w:t>温县妇幼保健院</w:t>
      </w:r>
    </w:p>
    <w:p>
      <w:pPr>
        <w:widowControl/>
        <w:shd w:val="clear" w:color="auto" w:fill="FFFFFF"/>
        <w:wordWrap/>
        <w:spacing w:before="0" w:after="0" w:line="600" w:lineRule="exact"/>
        <w:jc w:val="both"/>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妇幼保健院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四帮四扶工作经费增加1万元，国有资产处置收入增加5万元。</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温县妇幼保健院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30万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25万元，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温县妇幼保健院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p>
    <w:p>
      <w:pPr>
        <w:spacing w:line="600" w:lineRule="exact"/>
        <w:ind w:firstLine="640" w:firstLineChars="200"/>
        <w:outlineLvl w:val="0"/>
        <w:rPr>
          <w:rFonts w:hint="eastAsia" w:ascii="黑体" w:hAnsi="黑体" w:eastAsia="黑体"/>
          <w:kern w:val="0"/>
          <w:sz w:val="32"/>
          <w:szCs w:val="32"/>
        </w:rPr>
      </w:pPr>
      <w:r>
        <w:rPr>
          <w:rFonts w:hint="eastAsia" w:ascii="黑体" w:hAnsi="黑体" w:eastAsia="黑体"/>
          <w:sz w:val="32"/>
          <w:szCs w:val="32"/>
        </w:rPr>
        <w:t>四</w:t>
      </w:r>
      <w:r>
        <w:rPr>
          <w:rFonts w:hint="eastAsia" w:ascii="黑体" w:hAnsi="黑体" w:eastAsia="黑体"/>
          <w:kern w:val="0"/>
          <w:sz w:val="32"/>
          <w:szCs w:val="32"/>
        </w:rPr>
        <w:t>、“三公”经费支出预算情况说明</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温县妇幼保健院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与2017年预算数持平。</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000000"/>
          <w:sz w:val="32"/>
          <w:szCs w:val="32"/>
          <w:lang w:val="en-US" w:eastAsia="zh-CN"/>
        </w:rPr>
        <w:t>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auto"/>
          <w:sz w:val="32"/>
          <w:szCs w:val="32"/>
          <w:lang w:val="en-US" w:eastAsia="zh-CN"/>
        </w:rPr>
        <w:t>与2017年预算数持平，</w:t>
      </w:r>
      <w:r>
        <w:rPr>
          <w:rFonts w:hint="eastAsia" w:ascii="仿宋_GB2312" w:hAnsi="仿宋_GB2312" w:eastAsia="仿宋_GB2312" w:cs="仿宋_GB2312"/>
          <w:color w:val="000000"/>
          <w:sz w:val="32"/>
          <w:szCs w:val="32"/>
          <w:lang w:val="en-US" w:eastAsia="zh-CN"/>
        </w:rPr>
        <w:t>增长0%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auto"/>
          <w:sz w:val="32"/>
          <w:szCs w:val="32"/>
          <w:lang w:val="en-US" w:eastAsia="zh-CN"/>
        </w:rPr>
        <w:t>与2017年预算数持平，</w:t>
      </w:r>
      <w:r>
        <w:rPr>
          <w:rFonts w:hint="eastAsia" w:ascii="仿宋_GB2312" w:hAnsi="仿宋_GB2312" w:eastAsia="仿宋_GB2312" w:cs="仿宋_GB2312"/>
          <w:color w:val="000000"/>
          <w:sz w:val="32"/>
          <w:szCs w:val="32"/>
          <w:lang w:val="en-US" w:eastAsia="zh-CN"/>
        </w:rPr>
        <w:t>增长0%</w:t>
      </w:r>
      <w:r>
        <w:rPr>
          <w:rFonts w:hint="eastAsia" w:ascii="仿宋_GB2312" w:hAnsi="仿宋_GB2312" w:eastAsia="仿宋_GB2312" w:cs="仿宋_GB2312"/>
          <w:color w:val="000000"/>
          <w:sz w:val="32"/>
          <w:szCs w:val="32"/>
        </w:rPr>
        <w:t>。</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与2017年预算数持平，</w:t>
      </w:r>
      <w:r>
        <w:rPr>
          <w:rFonts w:hint="eastAsia" w:ascii="仿宋_GB2312" w:hAnsi="仿宋_GB2312" w:eastAsia="仿宋_GB2312" w:cs="仿宋_GB2312"/>
          <w:color w:val="000000"/>
          <w:sz w:val="32"/>
          <w:szCs w:val="32"/>
          <w:lang w:val="en-US" w:eastAsia="zh-CN"/>
        </w:rPr>
        <w:t>增长0%。</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rPr>
        <w:t>五、政府性基金预算支出</w:t>
      </w:r>
      <w:r>
        <w:rPr>
          <w:rFonts w:hint="eastAsia" w:ascii="黑体" w:hAnsi="黑体" w:eastAsia="黑体"/>
          <w:kern w:val="0"/>
          <w:sz w:val="32"/>
          <w:szCs w:val="32"/>
          <w:lang w:eastAsia="zh-CN"/>
        </w:rPr>
        <w:t>预算</w:t>
      </w:r>
      <w:r>
        <w:rPr>
          <w:rFonts w:hint="eastAsia" w:ascii="黑体" w:hAnsi="黑体" w:eastAsia="黑体"/>
          <w:kern w:val="0"/>
          <w:sz w:val="32"/>
          <w:szCs w:val="32"/>
        </w:rPr>
        <w:t>情况说明</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我单位2018年没有使用政府性基金预算拨款安排的收支。</w:t>
      </w:r>
    </w:p>
    <w:p>
      <w:pPr>
        <w:spacing w:line="600" w:lineRule="exact"/>
        <w:ind w:firstLine="640" w:firstLineChars="200"/>
        <w:rPr>
          <w:rFonts w:ascii="黑体" w:hAnsi="黑体" w:eastAsia="黑体"/>
          <w:kern w:val="0"/>
          <w:sz w:val="32"/>
          <w:szCs w:val="32"/>
        </w:rPr>
      </w:pPr>
      <w:r>
        <w:rPr>
          <w:rFonts w:hint="eastAsia" w:ascii="黑体" w:hAnsi="黑体" w:eastAsia="黑体"/>
          <w:sz w:val="32"/>
          <w:szCs w:val="32"/>
        </w:rPr>
        <w:t>六、</w:t>
      </w:r>
      <w:r>
        <w:rPr>
          <w:rFonts w:hint="eastAsia" w:ascii="黑体" w:hAnsi="黑体" w:eastAsia="黑体"/>
          <w:kern w:val="0"/>
          <w:sz w:val="32"/>
          <w:szCs w:val="32"/>
        </w:rPr>
        <w:t>国有资本经营预算支出</w:t>
      </w:r>
      <w:r>
        <w:rPr>
          <w:rFonts w:hint="eastAsia" w:ascii="黑体" w:hAnsi="黑体" w:eastAsia="黑体"/>
          <w:kern w:val="0"/>
          <w:sz w:val="32"/>
          <w:szCs w:val="32"/>
          <w:lang w:eastAsia="zh-CN"/>
        </w:rPr>
        <w:t>预算</w:t>
      </w:r>
      <w:r>
        <w:rPr>
          <w:rFonts w:hint="eastAsia" w:ascii="黑体" w:hAnsi="黑体" w:eastAsia="黑体"/>
          <w:kern w:val="0"/>
          <w:sz w:val="32"/>
          <w:szCs w:val="32"/>
        </w:rPr>
        <w:t>情况说明</w:t>
      </w:r>
    </w:p>
    <w:p>
      <w:pPr>
        <w:spacing w:line="60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我单位2018年没有使用国有资本经营预算拨款安排的收支。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sz w:val="32"/>
          <w:szCs w:val="32"/>
        </w:rPr>
      </w:pPr>
      <w:r>
        <w:rPr>
          <w:rFonts w:hint="eastAsia" w:ascii="黑体" w:hAnsi="黑体" w:eastAsia="黑体"/>
          <w:spacing w:val="-1"/>
          <w:kern w:val="0"/>
          <w:sz w:val="32"/>
          <w:szCs w:val="32"/>
        </w:rPr>
        <w:t>七、其他重要事项的情况说明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hint="eastAsia" w:ascii="楷体" w:hAnsi="楷体" w:eastAsia="楷体" w:cs="楷体"/>
          <w:bCs/>
          <w:kern w:val="0"/>
          <w:sz w:val="32"/>
          <w:szCs w:val="32"/>
        </w:rPr>
        <w:t xml:space="preserve">   （一）机关运行经费情况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Calibri" w:eastAsia="仿宋_GB2312" w:cs="仿宋_GB2312"/>
          <w:sz w:val="32"/>
          <w:szCs w:val="32"/>
        </w:rPr>
        <w:t>。</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（三）关于预算绩效管理工作开展情况说明</w:t>
      </w:r>
    </w:p>
    <w:p>
      <w:pPr>
        <w:spacing w:line="60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sz w:val="32"/>
          <w:szCs w:val="32"/>
        </w:rPr>
        <w:t>2017年,我单位对0个项目进行了预算绩效评价，涉及资金0万元。</w:t>
      </w:r>
      <w:r>
        <w:rPr>
          <w:rFonts w:hint="eastAsia"/>
          <w:sz w:val="28"/>
          <w:szCs w:val="28"/>
        </w:rPr>
        <w:t xml:space="preserve"> </w:t>
      </w:r>
      <w:r>
        <w:rPr>
          <w:rFonts w:hint="eastAsia" w:ascii="仿宋_GB2312" w:hAnsi="仿宋_GB2312" w:eastAsia="仿宋_GB2312" w:cs="仿宋_GB2312"/>
          <w:sz w:val="32"/>
          <w:szCs w:val="32"/>
        </w:rPr>
        <w:t>2018年，我单位部门预算纳入绩效管理的支出总额为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万元，公用经费支出 0万元，支出项目共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个，支出总额</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万元，其中预算支出30万元及以上应申报绩效的项目0个，支出总额0万元。</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附件：温县</w:t>
      </w:r>
      <w:r>
        <w:rPr>
          <w:rFonts w:hint="eastAsia" w:ascii="仿宋_GB2312" w:hAnsi="仿宋_GB2312" w:eastAsia="仿宋_GB2312" w:cs="仿宋_GB2312"/>
          <w:sz w:val="32"/>
          <w:szCs w:val="32"/>
          <w:lang w:eastAsia="zh-CN"/>
        </w:rPr>
        <w:t>妇幼保健院</w:t>
      </w:r>
      <w:r>
        <w:rPr>
          <w:rFonts w:hint="eastAsia" w:ascii="仿宋_GB2312" w:hAnsi="仿宋_GB2312" w:eastAsia="仿宋_GB2312" w:cs="仿宋_GB2312"/>
          <w:sz w:val="32"/>
          <w:szCs w:val="32"/>
        </w:rPr>
        <w:t>2018年度部门预算表</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Arial"/>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3811691148">
    <w:nsid w:val="E331CA8C"/>
    <w:multiLevelType w:val="singleLevel"/>
    <w:tmpl w:val="E331CA8C"/>
    <w:lvl w:ilvl="0" w:tentative="1">
      <w:start w:val="1"/>
      <w:numFmt w:val="chineseCounting"/>
      <w:suff w:val="nothing"/>
      <w:lvlText w:val="(%1）"/>
      <w:lvlJc w:val="left"/>
      <w:rPr>
        <w:rFonts w:hint="eastAsia"/>
      </w:rPr>
    </w:lvl>
  </w:abstractNum>
  <w:num w:numId="1">
    <w:abstractNumId w:val="1517907436"/>
  </w:num>
  <w:num w:numId="2">
    <w:abstractNumId w:val="3811691148"/>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预算T</cp:lastModifiedBy>
  <cp:lastPrinted>2018-03-09T07:54:00Z</cp:lastPrinted>
  <dcterms:modified xsi:type="dcterms:W3CDTF">2018-11-08T07:52:38Z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