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2018年度温县人民医院预算公开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2018年度部门预算表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第一部分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温县人民医院概况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600" w:lineRule="exact"/>
        <w:ind w:right="3569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（一）机构设置情况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人民医院内设办公室、党办、医务科、护理部、财务科、药剂科、感染管理科、后勤科、信息科、设备科、物资供应科、保卫科、评审办、公共卫生科、物价科、门诊部、质管办、社区科等18个职能科室和神经内科、心血管内科、康复医学科、内分泌及代谢科、肿瘤及血液病科、消化内科、心胸外科及普外科、骨外科及显微外科、普外科及微创外科、神经外科、骨科及烧伤科、呼吸内科、泌尿外科、肾病及风湿免疫科、五官科、妇产科、妇、儿科、感染性疾病科、急诊科、ICU、皮肤病科、精神疾病科、精、心理科、疼痛科、老年病房、传染疾病科等临床科室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（二）部门职责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对全县人民提供集医疗、教学、科研、预防、保健、急救、康复为一体的综合服务。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我单位有二级机构0个，本预算仅为本级单位预算，纳入我单位2018年部门预算编报范围为：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温县人民医院</w:t>
      </w:r>
    </w:p>
    <w:p>
      <w:pPr>
        <w:widowControl/>
        <w:numPr>
          <w:numId w:val="0"/>
        </w:numPr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温县人民医院2018年收入总计 61万元，支出总计61万元，与2017年相比，收、支总计各增加11万元，增长22%。主要原因：增加资产处置收入10万元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，四帮四扶第一书记经费增加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温县人民医院2018年收入合计 61万元，其中：一般公共预算合计51万元，非税收入10万元。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温县人民医院单位2018年支出合计61万元，其中：基本支出60万元，占比为98.36%；项目支出1万元，占比为 1.64%。</w:t>
      </w: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,与2017年预算数持平。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</w:rPr>
        <w:t>七、其他重要事项的情况说明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2018年机关运行经费预算0万元。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2018年政府采购预算安排0万元。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我院2017年,我单位对0个项目进行了预算绩效评价，涉及资金0万元。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 0万元，支出项目共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万元，其中预算支出30万元及以上应申报绩效的项目0个，支出总额0万元。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附件：温县人民医院2018年度部门预算表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6">
    <w:name w:val="页脚 Char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243</Words>
  <Characters>1386</Characters>
  <Lines>11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2018-11-08T07:52:53Z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