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2018年度温县园林局预算公开</w:t>
      </w:r>
    </w:p>
    <w:p>
      <w:pPr>
        <w:kinsoku w:val="0"/>
        <w:overflowPunct w:val="0"/>
        <w:adjustRightInd w:val="0"/>
        <w:snapToGrid w:val="0"/>
        <w:spacing w:line="360" w:lineRule="auto"/>
        <w:ind w:left="101" w:right="3569" w:firstLine="640" w:firstLineChars="200"/>
        <w:rPr>
          <w:rFonts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  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z w:val="32"/>
          <w:szCs w:val="32"/>
        </w:rPr>
        <w:t>2018年度部门预算情况说明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 xml:space="preserve"> 2018年度部门预算表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十一、项目绩效目标申报表</w:t>
      </w:r>
      <w:bookmarkStart w:id="0" w:name="_GoBack"/>
      <w:bookmarkEnd w:id="0"/>
    </w:p>
    <w:p>
      <w:pPr>
        <w:kinsoku w:val="0"/>
        <w:overflowPunct w:val="0"/>
        <w:adjustRightInd w:val="0"/>
        <w:snapToGrid w:val="0"/>
        <w:spacing w:line="360" w:lineRule="auto"/>
        <w:ind w:left="101" w:right="521" w:firstLine="640" w:firstLineChars="200"/>
        <w:rPr>
          <w:rFonts w:ascii="仿宋_GB2312" w:hAnsi="仿宋_GB2312" w:eastAsia="仿宋_GB2312" w:cs="仿宋_GB2312"/>
          <w:sz w:val="32"/>
          <w:szCs w:val="32"/>
        </w:rPr>
      </w:pPr>
    </w:p>
    <w:p>
      <w:pPr>
        <w:adjustRightInd w:val="0"/>
        <w:snapToGrid w:val="0"/>
        <w:spacing w:line="60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rPr>
        <w:t xml:space="preserve">                    </w:t>
      </w:r>
      <w:r>
        <w:rPr>
          <w:rFonts w:hint="eastAsia" w:ascii="方正小标宋简体" w:hAnsi="方正小标宋简体" w:eastAsia="方正小标宋简体" w:cs="方正小标宋简体"/>
          <w:sz w:val="32"/>
          <w:szCs w:val="32"/>
        </w:rPr>
        <w:t xml:space="preserve"> 第一部分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温县园林局概况</w:t>
      </w:r>
    </w:p>
    <w:p>
      <w:pPr>
        <w:adjustRightInd w:val="0"/>
        <w:snapToGrid w:val="0"/>
        <w:spacing w:line="600" w:lineRule="exact"/>
        <w:ind w:firstLine="640" w:firstLineChars="200"/>
        <w:jc w:val="center"/>
        <w:rPr>
          <w:rFonts w:ascii="黑体" w:hAnsi="黑体" w:eastAsia="黑体"/>
          <w:sz w:val="32"/>
          <w:szCs w:val="32"/>
        </w:rPr>
      </w:pPr>
    </w:p>
    <w:p>
      <w:pPr>
        <w:numPr>
          <w:ilvl w:val="0"/>
          <w:numId w:val="1"/>
        </w:num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主要职能</w:t>
      </w:r>
    </w:p>
    <w:p>
      <w:pPr>
        <w:numPr>
          <w:ilvl w:val="0"/>
          <w:numId w:val="2"/>
        </w:numPr>
        <w:kinsoku w:val="0"/>
        <w:overflowPunct w:val="0"/>
        <w:adjustRightInd w:val="0"/>
        <w:snapToGrid w:val="0"/>
        <w:spacing w:line="600" w:lineRule="exact"/>
        <w:ind w:right="356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机构设置情况</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温县园林局机关内设4个职能科室</w:t>
      </w:r>
      <w:r>
        <w:rPr>
          <w:rFonts w:hint="eastAsia" w:ascii="仿宋_GB2312" w:hAnsi="仿宋_GB2312" w:eastAsia="仿宋_GB2312" w:cs="仿宋_GB2312"/>
          <w:sz w:val="32"/>
          <w:szCs w:val="32"/>
          <w:highlight w:val="none"/>
          <w:lang w:val="en-US" w:eastAsia="zh-CN"/>
        </w:rPr>
        <w:t>,办公室、财务科、技术科、监察科，另设</w:t>
      </w:r>
      <w:r>
        <w:rPr>
          <w:rFonts w:hint="eastAsia" w:ascii="仿宋_GB2312" w:hAnsi="仿宋_GB2312" w:eastAsia="仿宋_GB2312" w:cs="仿宋_GB2312"/>
          <w:sz w:val="32"/>
          <w:szCs w:val="32"/>
          <w:highlight w:val="none"/>
        </w:rPr>
        <w:t>一个公园管理处，下属绿化队。</w:t>
      </w:r>
    </w:p>
    <w:p>
      <w:pPr>
        <w:kinsoku w:val="0"/>
        <w:overflowPunct w:val="0"/>
        <w:adjustRightInd w:val="0"/>
        <w:snapToGrid w:val="0"/>
        <w:spacing w:line="600" w:lineRule="exact"/>
        <w:ind w:left="0" w:leftChars="0" w:right="356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（二）部门职责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1、贯彻执行党和国家关于园林绿化方面的方针、政策和法律、法规，参与拟订、编制全县城市绿化中长期发展规划和《城市绿地系统规划》，并负责监督实施。负责对改变绿地性质的建设用地进行审批。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2、负责对城市各项建设项目配套绿化建设资金及异地绿化建设费的监管。监督建设单位按要求、按比例建设绿地并验收发证。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3、组织开展全民义务植树活动和各单位绿化达标工作。搞好园林科研及新技术推广应用。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4、负责对局下属单位的领导和管理，抓好本系统园林绿化工作及园林建设工程的管理。负责对本系统职工进行业务技术、职业道德、法制、安全的培训及考核、定级、晋级和职称评定工作。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5、负责对城市树木砍伐、更新审批手续的办理和全县古树名木的管理保护工作。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6、负责城市绿化管理和执法工作。对侵占绿地、乱伐树木和破坏绿化成果的行为依法行政。</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居民区绿地和单位的附属绿地的绿化建设，负责审查工程建设项目的附属绿化工程设计方案及配套的绿化建设投资情况，负责全县园林式单位创建工作，负责全县的园林、绿地的维护工作，调查处理园林绿化违法案件，负责办理发放园林绿化工程资质证书，检查和验收园林绿化工程工作。</w:t>
      </w:r>
    </w:p>
    <w:p>
      <w:pPr>
        <w:widowControl w:val="0"/>
        <w:numPr>
          <w:numId w:val="0"/>
        </w:numPr>
        <w:wordWrap/>
        <w:adjustRightInd w:val="0"/>
        <w:snapToGrid w:val="0"/>
        <w:spacing w:before="0" w:after="0" w:line="600" w:lineRule="exact"/>
        <w:ind w:leftChars="0" w:firstLine="640" w:firstLineChars="200"/>
        <w:textAlignment w:val="auto"/>
        <w:outlineLvl w:val="0"/>
        <w:rPr>
          <w:rFonts w:hint="eastAsia" w:ascii="仿宋" w:hAnsi="仿宋" w:eastAsia="仿宋" w:cs="仿宋"/>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二、部门预算单位构成</w:t>
      </w:r>
    </w:p>
    <w:p>
      <w:pPr>
        <w:widowControl w:val="0"/>
        <w:numPr>
          <w:numId w:val="0"/>
        </w:numPr>
        <w:wordWrap/>
        <w:adjustRightInd/>
        <w:snapToGrid/>
        <w:spacing w:before="0" w:after="0" w:line="592" w:lineRule="atLeast"/>
        <w:ind w:leftChars="0" w:right="0" w:firstLine="640" w:firstLineChars="200"/>
        <w:jc w:val="both"/>
        <w:textAlignment w:val="bottom"/>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我单位有二级机构1个，本预算为汇总预算，纳入我单位2018年部门预算编报范围的二级机构有：</w:t>
      </w:r>
    </w:p>
    <w:p>
      <w:pPr>
        <w:widowControl w:val="0"/>
        <w:numPr>
          <w:numId w:val="0"/>
        </w:numPr>
        <w:wordWrap/>
        <w:adjustRightInd/>
        <w:snapToGrid/>
        <w:spacing w:before="0" w:after="0" w:line="592" w:lineRule="atLeast"/>
        <w:ind w:leftChars="0" w:right="0" w:firstLine="640" w:firstLineChars="200"/>
        <w:jc w:val="both"/>
        <w:textAlignment w:val="bottom"/>
        <w:outlineLvl w:val="9"/>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auto"/>
          <w:sz w:val="32"/>
          <w:szCs w:val="32"/>
          <w:lang w:val="en-US" w:eastAsia="zh-CN"/>
        </w:rPr>
        <w:t xml:space="preserve">绿化队。 </w:t>
      </w:r>
      <w:r>
        <w:rPr>
          <w:rFonts w:hint="eastAsia" w:ascii="仿宋" w:hAnsi="仿宋" w:eastAsia="仿宋" w:cs="仿宋"/>
          <w:b w:val="0"/>
          <w:bCs w:val="0"/>
          <w:color w:val="FF0000"/>
          <w:sz w:val="32"/>
          <w:szCs w:val="32"/>
          <w:lang w:val="en-US" w:eastAsia="zh-CN"/>
        </w:rPr>
        <w:t xml:space="preserve"> </w:t>
      </w:r>
    </w:p>
    <w:p>
      <w:pPr>
        <w:adjustRightInd w:val="0"/>
        <w:snapToGrid w:val="0"/>
        <w:spacing w:line="600" w:lineRule="exact"/>
        <w:jc w:val="center"/>
        <w:rPr>
          <w:rFonts w:ascii="方正小标宋简体" w:hAnsi="方正小标宋简体" w:eastAsia="方正小标宋简体" w:cs="方正小标宋简体"/>
          <w:sz w:val="32"/>
          <w:szCs w:val="32"/>
        </w:rPr>
      </w:pPr>
    </w:p>
    <w:p>
      <w:pPr>
        <w:adjustRightInd w:val="0"/>
        <w:snapToGrid w:val="0"/>
        <w:spacing w:line="600" w:lineRule="exact"/>
        <w:jc w:val="center"/>
        <w:rPr>
          <w:rFonts w:ascii="方正小标宋简体" w:hAnsi="方正小标宋简体" w:eastAsia="方正小标宋简体" w:cs="方正小标宋简体"/>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2018年度部门预算情况说明</w:t>
      </w:r>
    </w:p>
    <w:p>
      <w:pPr>
        <w:adjustRightInd w:val="0"/>
        <w:snapToGrid w:val="0"/>
        <w:spacing w:line="600" w:lineRule="exact"/>
        <w:ind w:firstLine="640" w:firstLineChars="200"/>
        <w:rPr>
          <w:rFonts w:ascii="方正小标宋简体" w:hAnsi="方正小标宋简体" w:eastAsia="方正小标宋简体" w:cs="方正小标宋简体"/>
          <w:sz w:val="32"/>
          <w:szCs w:val="32"/>
        </w:rPr>
      </w:pPr>
    </w:p>
    <w:p>
      <w:pPr>
        <w:adjustRightInd w:val="0"/>
        <w:snapToGrid w:val="0"/>
        <w:spacing w:line="600" w:lineRule="exact"/>
        <w:ind w:firstLine="640" w:firstLineChars="200"/>
        <w:outlineLvl w:val="0"/>
        <w:rPr>
          <w:rFonts w:ascii="黑体" w:hAnsi="黑体" w:eastAsia="黑体"/>
          <w:sz w:val="32"/>
          <w:szCs w:val="32"/>
        </w:rPr>
      </w:pPr>
      <w:r>
        <w:rPr>
          <w:rFonts w:hint="eastAsia" w:ascii="黑体" w:hAnsi="黑体" w:eastAsia="黑体"/>
          <w:sz w:val="32"/>
          <w:szCs w:val="32"/>
        </w:rPr>
        <w:t>一、收入支出预算总体情况说明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温县园林局2018年收入总计400万元，支出总计400万元，与2017年相比，收、支总计各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3万元，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0.74%</w:t>
      </w:r>
      <w:r>
        <w:rPr>
          <w:rFonts w:hint="eastAsia" w:ascii="仿宋_GB2312" w:hAnsi="仿宋_GB2312" w:eastAsia="仿宋_GB2312" w:cs="仿宋_GB2312"/>
          <w:sz w:val="32"/>
          <w:szCs w:val="32"/>
        </w:rPr>
        <w:t>。主要原因：2018年减少了非税收入。</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widowControl/>
        <w:shd w:val="clear" w:color="auto" w:fill="FFFFFF"/>
        <w:spacing w:line="600" w:lineRule="exact"/>
        <w:ind w:firstLine="640"/>
        <w:jc w:val="left"/>
        <w:rPr>
          <w:rFonts w:ascii="仿宋" w:hAnsi="仿宋" w:eastAsia="仿宋" w:cs="仿宋_GB2312"/>
          <w:sz w:val="32"/>
          <w:szCs w:val="32"/>
        </w:rPr>
      </w:pPr>
      <w:r>
        <w:rPr>
          <w:rFonts w:hint="eastAsia" w:ascii="仿宋_GB2312" w:hAnsi="仿宋_GB2312" w:eastAsia="仿宋_GB2312" w:cs="仿宋_GB2312"/>
          <w:sz w:val="32"/>
          <w:szCs w:val="32"/>
          <w:lang w:eastAsia="zh-CN"/>
        </w:rPr>
        <w:t>温县园林局2018年收入合计400万元，其中：一般公共预算合计400万元，本级财力400万元，非税收入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 xml:space="preserve"> 0万元</w:t>
      </w:r>
      <w:r>
        <w:rPr>
          <w:rFonts w:hint="eastAsia" w:ascii="仿宋" w:hAnsi="仿宋" w:eastAsia="仿宋" w:cs="仿宋_GB2312"/>
          <w:sz w:val="32"/>
          <w:szCs w:val="32"/>
        </w:rPr>
        <w:t>。</w:t>
      </w:r>
    </w:p>
    <w:p>
      <w:pPr>
        <w:spacing w:line="600" w:lineRule="exact"/>
        <w:ind w:firstLine="640" w:firstLineChars="200"/>
        <w:outlineLvl w:val="0"/>
        <w:rPr>
          <w:rFonts w:ascii="仿宋_GB2312" w:hAnsi="仿宋_GB2312" w:eastAsia="仿宋_GB2312" w:cs="仿宋_GB2312"/>
          <w:sz w:val="32"/>
          <w:szCs w:val="32"/>
        </w:rPr>
      </w:pPr>
      <w:r>
        <w:rPr>
          <w:rFonts w:hint="eastAsia" w:ascii="黑体" w:hAnsi="黑体" w:eastAsia="黑体"/>
          <w:sz w:val="32"/>
          <w:szCs w:val="32"/>
        </w:rPr>
        <w:t>三、支出预算总体情况说明</w:t>
      </w:r>
    </w:p>
    <w:p>
      <w:pPr>
        <w:spacing w:line="600" w:lineRule="exact"/>
        <w:ind w:firstLine="640" w:firstLineChars="200"/>
        <w:rPr>
          <w:rFonts w:ascii="宋体" w:hAnsi="宋体" w:eastAsia="宋体" w:cs="仿宋_GB2312"/>
          <w:sz w:val="32"/>
          <w:szCs w:val="32"/>
        </w:rPr>
      </w:pPr>
      <w:r>
        <w:rPr>
          <w:rFonts w:hint="eastAsia" w:ascii="仿宋_GB2312" w:hAnsi="仿宋_GB2312" w:eastAsia="仿宋_GB2312" w:cs="仿宋_GB2312"/>
          <w:sz w:val="32"/>
          <w:szCs w:val="32"/>
        </w:rPr>
        <w:t>温县园林局2018年支出合计400万元，其中：</w:t>
      </w:r>
      <w:r>
        <w:rPr>
          <w:rFonts w:hint="eastAsia" w:ascii="仿宋_GB2312" w:hAnsi="仿宋_GB2312" w:eastAsia="仿宋_GB2312" w:cs="仿宋_GB2312"/>
          <w:sz w:val="32"/>
          <w:szCs w:val="32"/>
          <w:lang w:eastAsia="zh-CN"/>
        </w:rPr>
        <w:t>基本支出</w:t>
      </w:r>
      <w:r>
        <w:rPr>
          <w:rFonts w:hint="eastAsia" w:ascii="仿宋_GB2312" w:hAnsi="仿宋_GB2312" w:eastAsia="仿宋_GB2312" w:cs="仿宋_GB2312"/>
          <w:sz w:val="32"/>
          <w:szCs w:val="32"/>
          <w:lang w:val="en-US" w:eastAsia="zh-CN"/>
        </w:rPr>
        <w:t>0万元，占比0%。</w:t>
      </w:r>
      <w:r>
        <w:rPr>
          <w:rFonts w:hint="eastAsia" w:ascii="仿宋_GB2312" w:hAnsi="仿宋_GB2312" w:eastAsia="仿宋_GB2312" w:cs="仿宋_GB2312"/>
          <w:sz w:val="32"/>
          <w:szCs w:val="32"/>
        </w:rPr>
        <w:t>项目支出400万元，占比为 100%。</w:t>
      </w:r>
    </w:p>
    <w:p>
      <w:pPr>
        <w:pStyle w:val="5"/>
        <w:spacing w:line="600" w:lineRule="atLeast"/>
        <w:ind w:firstLine="640"/>
        <w:rPr>
          <w:rFonts w:hint="default" w:ascii="黑体" w:hAnsi="黑体" w:eastAsia="黑体"/>
          <w:sz w:val="32"/>
        </w:rPr>
      </w:pPr>
      <w:r>
        <w:rPr>
          <w:rFonts w:hint="eastAsia" w:ascii="黑体" w:hAnsi="黑体" w:eastAsia="黑体"/>
          <w:sz w:val="32"/>
        </w:rPr>
        <w:t>四、财政拨款收入支出预算总体情况说明</w:t>
      </w:r>
    </w:p>
    <w:p>
      <w:pPr>
        <w:pStyle w:val="5"/>
        <w:spacing w:line="600" w:lineRule="atLeast"/>
        <w:ind w:firstLine="640"/>
        <w:rPr>
          <w:rFonts w:hint="default" w:ascii="仿宋_GB2312" w:eastAsia="仿宋_GB2312"/>
          <w:sz w:val="32"/>
        </w:rPr>
      </w:pPr>
      <w:r>
        <w:rPr>
          <w:rFonts w:hint="eastAsia" w:ascii="仿宋_GB2312" w:eastAsia="仿宋_GB2312"/>
          <w:sz w:val="32"/>
        </w:rPr>
        <w:t>温县园林局2018年一般公共预算收支预算400万元。政府性基金收支预算0万元，与 2017年相比，一般公共预算收支预算</w:t>
      </w:r>
      <w:r>
        <w:rPr>
          <w:rFonts w:hint="eastAsia" w:ascii="仿宋_GB2312" w:eastAsia="仿宋_GB2312"/>
          <w:sz w:val="32"/>
          <w:lang w:eastAsia="zh-CN"/>
        </w:rPr>
        <w:t>减少</w:t>
      </w:r>
      <w:r>
        <w:rPr>
          <w:rFonts w:hint="eastAsia" w:ascii="仿宋_GB2312" w:eastAsia="仿宋_GB2312"/>
          <w:sz w:val="32"/>
          <w:lang w:val="en-US" w:eastAsia="zh-CN"/>
        </w:rPr>
        <w:t>3万元，减少0.74%</w:t>
      </w:r>
      <w:r>
        <w:rPr>
          <w:rFonts w:hint="eastAsia" w:ascii="仿宋_GB2312" w:eastAsia="仿宋_GB2312"/>
          <w:sz w:val="32"/>
        </w:rPr>
        <w:t>；政府性基金收支与2017年保持一致。</w:t>
      </w:r>
    </w:p>
    <w:p>
      <w:pPr>
        <w:pStyle w:val="5"/>
        <w:spacing w:line="600" w:lineRule="atLeast"/>
        <w:ind w:firstLine="640"/>
        <w:rPr>
          <w:rFonts w:hint="default" w:ascii="黑体" w:hAnsi="黑体" w:eastAsia="黑体"/>
          <w:sz w:val="32"/>
        </w:rPr>
      </w:pPr>
      <w:r>
        <w:rPr>
          <w:rFonts w:hint="eastAsia" w:ascii="黑体" w:hAnsi="黑体" w:eastAsia="黑体"/>
          <w:sz w:val="32"/>
        </w:rPr>
        <w:t>五、一般公共预算支出预算情况说明</w:t>
      </w:r>
    </w:p>
    <w:p>
      <w:pPr>
        <w:pStyle w:val="5"/>
        <w:spacing w:line="600" w:lineRule="atLeast"/>
        <w:ind w:firstLine="640"/>
        <w:rPr>
          <w:rFonts w:hint="default" w:ascii="仿宋_GB2312" w:eastAsia="仿宋_GB2312"/>
          <w:sz w:val="32"/>
        </w:rPr>
      </w:pPr>
      <w:r>
        <w:rPr>
          <w:rFonts w:hint="eastAsia" w:ascii="仿宋_GB2312" w:eastAsia="仿宋_GB2312"/>
          <w:sz w:val="32"/>
        </w:rPr>
        <w:t>温县园林局2018年一般公共预算支出年初预算为400万元。主要用于以下方面：城乡社区支出400万元，占100%。</w:t>
      </w:r>
    </w:p>
    <w:p>
      <w:pPr>
        <w:pStyle w:val="5"/>
        <w:spacing w:line="600" w:lineRule="atLeast"/>
        <w:ind w:firstLine="640"/>
        <w:rPr>
          <w:rFonts w:hint="default" w:ascii="黑体" w:hAnsi="黑体" w:eastAsia="黑体"/>
          <w:sz w:val="32"/>
        </w:rPr>
      </w:pPr>
      <w:r>
        <w:rPr>
          <w:rFonts w:hint="eastAsia" w:ascii="黑体" w:hAnsi="黑体" w:eastAsia="黑体"/>
          <w:sz w:val="32"/>
        </w:rPr>
        <w:t>六、一般公共预算基本支出预算情况说明</w:t>
      </w:r>
    </w:p>
    <w:p>
      <w:pPr>
        <w:pStyle w:val="5"/>
        <w:spacing w:line="600" w:lineRule="atLeast"/>
        <w:ind w:firstLine="640"/>
        <w:rPr>
          <w:rFonts w:hint="default" w:ascii="仿宋_GB2312" w:eastAsia="仿宋_GB2312"/>
          <w:sz w:val="32"/>
        </w:rPr>
      </w:pPr>
      <w:r>
        <w:rPr>
          <w:rFonts w:hint="eastAsia" w:ascii="仿宋_GB2312" w:eastAsia="仿宋_GB2312"/>
          <w:sz w:val="32"/>
        </w:rPr>
        <w:t>温县园林局2018年一般公共预算基本支出</w:t>
      </w:r>
      <w:r>
        <w:rPr>
          <w:rFonts w:hint="eastAsia" w:ascii="仿宋_GB2312" w:eastAsia="仿宋_GB2312"/>
          <w:sz w:val="32"/>
          <w:lang w:val="en-US" w:eastAsia="zh-CN"/>
        </w:rPr>
        <w:t>0</w:t>
      </w:r>
      <w:r>
        <w:rPr>
          <w:rFonts w:hint="eastAsia" w:ascii="仿宋_GB2312" w:eastAsia="仿宋_GB2312"/>
          <w:sz w:val="32"/>
        </w:rPr>
        <w:t>万元</w:t>
      </w:r>
      <w:r>
        <w:rPr>
          <w:rFonts w:hint="eastAsia" w:ascii="仿宋_GB2312" w:eastAsia="仿宋_GB2312"/>
          <w:sz w:val="32"/>
          <w:lang w:eastAsia="zh-CN"/>
        </w:rPr>
        <w:t>。</w:t>
      </w:r>
    </w:p>
    <w:p>
      <w:pPr>
        <w:spacing w:line="600" w:lineRule="exact"/>
        <w:ind w:firstLine="640" w:firstLineChars="200"/>
        <w:outlineLvl w:val="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kern w:val="0"/>
          <w:sz w:val="32"/>
          <w:szCs w:val="32"/>
        </w:rPr>
        <w:t>、“三公”经费支出预算情况说明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温县园林局2018 年“三公”经费预算为2.8万元。2018年“三公”经费支出预算数比 2017年预算数减少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具体支出情况如下：</w:t>
      </w:r>
    </w:p>
    <w:p>
      <w:pPr>
        <w:numPr>
          <w:ilvl w:val="0"/>
          <w:numId w:val="3"/>
        </w:numPr>
        <w:kinsoku w:val="0"/>
        <w:overflowPunct w:val="0"/>
        <w:autoSpaceDE w:val="0"/>
        <w:autoSpaceDN w:val="0"/>
        <w:adjustRightInd w:val="0"/>
        <w:snapToGrid w:val="0"/>
        <w:spacing w:line="600" w:lineRule="exact"/>
        <w:ind w:firstLine="639" w:firstLineChars="200"/>
        <w:rPr>
          <w:rFonts w:ascii="仿宋" w:hAnsi="仿宋" w:eastAsia="仿宋" w:cs="仿宋_GB2312"/>
          <w:sz w:val="32"/>
          <w:szCs w:val="32"/>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2017年预算数</w:t>
      </w:r>
      <w:r>
        <w:rPr>
          <w:rFonts w:hint="eastAsia" w:ascii="仿宋_GB2312" w:hAnsi="仿宋_GB2312" w:eastAsia="仿宋_GB2312" w:cs="仿宋_GB2312"/>
          <w:sz w:val="32"/>
          <w:szCs w:val="32"/>
          <w:lang w:eastAsia="zh-CN"/>
        </w:rPr>
        <w:t>保持一致，增长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p>
    <w:p>
      <w:pPr>
        <w:numPr>
          <w:ilvl w:val="0"/>
          <w:numId w:val="3"/>
        </w:numPr>
        <w:kinsoku w:val="0"/>
        <w:overflowPunct w:val="0"/>
        <w:autoSpaceDE w:val="0"/>
        <w:autoSpaceDN w:val="0"/>
        <w:adjustRightInd w:val="0"/>
        <w:snapToGrid w:val="0"/>
        <w:spacing w:line="600" w:lineRule="exact"/>
        <w:ind w:firstLine="639" w:firstLineChars="20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rPr>
        <w:t>2.7</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2017年预算数</w:t>
      </w:r>
      <w:r>
        <w:rPr>
          <w:rFonts w:hint="eastAsia" w:ascii="仿宋_GB2312" w:hAnsi="仿宋_GB2312" w:eastAsia="仿宋_GB2312" w:cs="仿宋_GB2312"/>
          <w:sz w:val="32"/>
          <w:szCs w:val="32"/>
          <w:lang w:eastAsia="zh-CN"/>
        </w:rPr>
        <w:t>保持一致，增长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公车运行维护费2.7万元，主要用于车辆加油。预算数比2017年减少0.2万元，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6.9%；</w:t>
      </w:r>
      <w:r>
        <w:rPr>
          <w:rFonts w:hint="eastAsia" w:ascii="仿宋_GB2312" w:hAnsi="仿宋_GB2312" w:eastAsia="仿宋_GB2312" w:cs="仿宋_GB2312"/>
          <w:sz w:val="32"/>
          <w:szCs w:val="32"/>
        </w:rPr>
        <w:t>主要原因：减少公务用车。</w:t>
      </w:r>
    </w:p>
    <w:p>
      <w:pPr>
        <w:spacing w:line="600" w:lineRule="exact"/>
        <w:ind w:firstLine="639" w:firstLineChars="20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rPr>
        <w:t>0.1万元，主要用于按规定开支的各类公务接待支出。预算数比2017年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无增长比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主要原因：上级检查及指导工作的正常公务接待。</w:t>
      </w:r>
    </w:p>
    <w:p>
      <w:pPr>
        <w:spacing w:line="600" w:lineRule="exact"/>
        <w:ind w:firstLine="640" w:firstLineChars="200"/>
        <w:outlineLvl w:val="0"/>
        <w:rPr>
          <w:rFonts w:ascii="黑体" w:hAnsi="黑体" w:eastAsia="黑体"/>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、政府性基金预算支出预算情况说明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我单位2018年没有使用政府性基金预算拨款安排的收支。</w:t>
      </w:r>
    </w:p>
    <w:p>
      <w:pPr>
        <w:spacing w:line="600" w:lineRule="exact"/>
        <w:ind w:firstLine="640" w:firstLineChars="200"/>
        <w:rPr>
          <w:rFonts w:ascii="黑体" w:hAnsi="黑体" w:eastAsia="黑体"/>
          <w:kern w:val="0"/>
          <w:sz w:val="32"/>
          <w:szCs w:val="32"/>
        </w:rPr>
      </w:pPr>
      <w:r>
        <w:rPr>
          <w:rFonts w:hint="eastAsia" w:ascii="黑体" w:hAnsi="黑体" w:eastAsia="黑体"/>
          <w:sz w:val="32"/>
          <w:szCs w:val="32"/>
          <w:lang w:eastAsia="zh-CN"/>
        </w:rPr>
        <w:t>九</w:t>
      </w:r>
      <w:r>
        <w:rPr>
          <w:rFonts w:hint="eastAsia" w:ascii="黑体" w:hAnsi="黑体" w:eastAsia="黑体"/>
          <w:sz w:val="32"/>
          <w:szCs w:val="32"/>
        </w:rPr>
        <w:t>、</w:t>
      </w:r>
      <w:r>
        <w:rPr>
          <w:rFonts w:hint="eastAsia" w:ascii="黑体" w:hAnsi="黑体" w:eastAsia="黑体"/>
          <w:kern w:val="0"/>
          <w:sz w:val="32"/>
          <w:szCs w:val="32"/>
        </w:rPr>
        <w:t>国有资本经营预算支出预算情况说明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我单位2018年没有使用国有资本经营预算拨款安排的收支。</w:t>
      </w:r>
    </w:p>
    <w:p>
      <w:pPr>
        <w:kinsoku w:val="0"/>
        <w:overflowPunct w:val="0"/>
        <w:autoSpaceDE w:val="0"/>
        <w:autoSpaceDN w:val="0"/>
        <w:adjustRightInd w:val="0"/>
        <w:snapToGrid w:val="0"/>
        <w:spacing w:line="600" w:lineRule="exact"/>
        <w:ind w:firstLine="636" w:firstLineChars="200"/>
        <w:outlineLvl w:val="0"/>
        <w:rPr>
          <w:rFonts w:ascii="黑体" w:hAnsi="黑体" w:eastAsia="黑体"/>
          <w:sz w:val="32"/>
          <w:szCs w:val="32"/>
        </w:rPr>
      </w:pPr>
      <w:r>
        <w:rPr>
          <w:rFonts w:hint="eastAsia" w:ascii="黑体" w:hAnsi="黑体" w:eastAsia="黑体"/>
          <w:spacing w:val="-1"/>
          <w:kern w:val="0"/>
          <w:sz w:val="32"/>
          <w:szCs w:val="32"/>
          <w:lang w:eastAsia="zh-CN"/>
        </w:rPr>
        <w:t>十</w:t>
      </w:r>
      <w:r>
        <w:rPr>
          <w:rFonts w:hint="eastAsia" w:ascii="黑体" w:hAnsi="黑体" w:eastAsia="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楷体"/>
          <w:bCs/>
          <w:sz w:val="32"/>
          <w:szCs w:val="32"/>
        </w:rPr>
      </w:pPr>
      <w:r>
        <w:rPr>
          <w:rFonts w:hint="eastAsia" w:ascii="楷体" w:hAnsi="楷体" w:eastAsia="楷体" w:cs="楷体"/>
          <w:bCs/>
          <w:kern w:val="0"/>
          <w:sz w:val="32"/>
          <w:szCs w:val="32"/>
        </w:rPr>
        <w:t xml:space="preserve">   （一）机关运行经费情况</w:t>
      </w:r>
    </w:p>
    <w:p>
      <w:pPr>
        <w:kinsoku w:val="0"/>
        <w:overflowPunct w:val="0"/>
        <w:autoSpaceDE w:val="0"/>
        <w:autoSpaceDN w:val="0"/>
        <w:adjustRightInd w:val="0"/>
        <w:snapToGrid w:val="0"/>
        <w:spacing w:line="600" w:lineRule="exact"/>
        <w:ind w:left="0" w:leftChars="0"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楷体"/>
          <w:bCs/>
          <w:kern w:val="0"/>
          <w:sz w:val="32"/>
          <w:szCs w:val="32"/>
        </w:rPr>
      </w:pPr>
      <w:r>
        <w:rPr>
          <w:rFonts w:hint="eastAsia" w:ascii="楷体" w:hAnsi="楷体" w:eastAsia="楷体" w:cs="楷体"/>
          <w:bCs/>
          <w:kern w:val="0"/>
          <w:sz w:val="32"/>
          <w:szCs w:val="32"/>
        </w:rPr>
        <w:t xml:space="preserve">   （二）政府采购支出情况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2018年政府采购预算安排2414万元</w:t>
      </w:r>
      <w:r>
        <w:rPr>
          <w:rFonts w:hint="eastAsia" w:ascii="仿宋_GB2312" w:hAnsi="仿宋_GB2312" w:eastAsia="仿宋_GB2312" w:cs="仿宋_GB2312"/>
          <w:sz w:val="32"/>
          <w:szCs w:val="32"/>
          <w:lang w:val="en-US" w:eastAsia="zh-CN"/>
        </w:rPr>
        <w:t>。</w:t>
      </w:r>
    </w:p>
    <w:p>
      <w:pPr>
        <w:numPr>
          <w:ilvl w:val="0"/>
          <w:numId w:val="4"/>
        </w:numPr>
        <w:kinsoku w:val="0"/>
        <w:overflowPunct w:val="0"/>
        <w:autoSpaceDE w:val="0"/>
        <w:autoSpaceDN w:val="0"/>
        <w:adjustRightInd w:val="0"/>
        <w:snapToGrid w:val="0"/>
        <w:spacing w:line="600" w:lineRule="exact"/>
        <w:ind w:left="1260" w:leftChars="0" w:hanging="620" w:firstLineChars="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投资2300万元的太行路、古温大街等道路两侧绿化进行绿化改造提升。</w:t>
      </w:r>
    </w:p>
    <w:p>
      <w:pPr>
        <w:numPr>
          <w:ilvl w:val="0"/>
          <w:numId w:val="4"/>
        </w:numPr>
        <w:kinsoku w:val="0"/>
        <w:overflowPunct w:val="0"/>
        <w:autoSpaceDE w:val="0"/>
        <w:autoSpaceDN w:val="0"/>
        <w:adjustRightInd w:val="0"/>
        <w:snapToGrid w:val="0"/>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小天鹅游园改造75万。</w:t>
      </w:r>
    </w:p>
    <w:p>
      <w:pPr>
        <w:numPr>
          <w:ilvl w:val="0"/>
          <w:numId w:val="4"/>
        </w:numPr>
        <w:kinsoku w:val="0"/>
        <w:overflowPunct w:val="0"/>
        <w:autoSpaceDE w:val="0"/>
        <w:autoSpaceDN w:val="0"/>
        <w:adjustRightInd w:val="0"/>
        <w:snapToGrid w:val="0"/>
        <w:spacing w:line="600" w:lineRule="exact"/>
        <w:rPr>
          <w:rFonts w:ascii="仿宋" w:hAnsi="仿宋" w:eastAsia="仿宋" w:cs="仿宋_GB2312"/>
          <w:sz w:val="32"/>
          <w:szCs w:val="32"/>
        </w:rPr>
      </w:pPr>
      <w:r>
        <w:rPr>
          <w:rFonts w:hint="eastAsia" w:ascii="仿宋_GB2312" w:hAnsi="仿宋_GB2312" w:eastAsia="仿宋_GB2312" w:cs="仿宋_GB2312"/>
          <w:bCs/>
          <w:kern w:val="0"/>
          <w:sz w:val="32"/>
          <w:szCs w:val="32"/>
        </w:rPr>
        <w:t>建园游园改造39万。</w:t>
      </w:r>
    </w:p>
    <w:p>
      <w:pPr>
        <w:kinsoku w:val="0"/>
        <w:overflowPunct w:val="0"/>
        <w:autoSpaceDE w:val="0"/>
        <w:autoSpaceDN w:val="0"/>
        <w:adjustRightInd w:val="0"/>
        <w:snapToGrid w:val="0"/>
        <w:spacing w:line="600" w:lineRule="exact"/>
        <w:ind w:firstLine="640" w:firstLineChars="200"/>
        <w:rPr>
          <w:rFonts w:ascii="楷体" w:hAnsi="楷体" w:eastAsia="楷体" w:cs="楷体"/>
          <w:bCs/>
          <w:kern w:val="0"/>
          <w:sz w:val="32"/>
          <w:szCs w:val="32"/>
        </w:rPr>
      </w:pPr>
      <w:r>
        <w:rPr>
          <w:rFonts w:hint="eastAsia" w:ascii="楷体" w:hAnsi="楷体" w:eastAsia="楷体" w:cs="楷体"/>
          <w:bCs/>
          <w:kern w:val="0"/>
          <w:sz w:val="32"/>
          <w:szCs w:val="32"/>
        </w:rPr>
        <w:t>（三）关于预算绩效管理工作开展情况说明</w:t>
      </w:r>
    </w:p>
    <w:p>
      <w:pPr>
        <w:kinsoku w:val="0"/>
        <w:wordWrap/>
        <w:overflowPunct w:val="0"/>
        <w:autoSpaceDE w:val="0"/>
        <w:autoSpaceDN w:val="0"/>
        <w:adjustRightInd w:val="0"/>
        <w:snapToGrid w:val="0"/>
        <w:spacing w:before="0" w:after="0" w:line="600" w:lineRule="exact"/>
        <w:ind w:left="0" w:leftChars="0" w:firstLine="560" w:firstLineChars="200"/>
        <w:textAlignment w:val="auto"/>
        <w:rPr>
          <w:rFonts w:hint="eastAsia" w:ascii="仿宋_GB2312" w:hAnsi="仿宋_GB2312" w:eastAsia="仿宋_GB2312" w:cs="仿宋_GB2312"/>
          <w:sz w:val="32"/>
          <w:szCs w:val="32"/>
          <w:lang w:val="en-US" w:eastAsia="zh-CN"/>
        </w:rPr>
      </w:pPr>
      <w:r>
        <w:rPr>
          <w:rFonts w:hint="eastAsia"/>
          <w:color w:val="auto"/>
          <w:sz w:val="28"/>
          <w:szCs w:val="28"/>
          <w:lang w:val="en-US" w:eastAsia="zh-CN"/>
        </w:rPr>
        <w:t xml:space="preserve"> </w:t>
      </w:r>
      <w:r>
        <w:rPr>
          <w:rFonts w:hint="eastAsia" w:ascii="仿宋_GB2312" w:hAnsi="仿宋_GB2312" w:eastAsia="仿宋_GB2312" w:cs="仿宋_GB2312"/>
          <w:color w:val="auto"/>
          <w:sz w:val="32"/>
          <w:szCs w:val="32"/>
          <w:lang w:val="en-US" w:eastAsia="zh-CN"/>
        </w:rPr>
        <w:t>2017年，我单位未开展绩效评价。</w:t>
      </w:r>
      <w:r>
        <w:rPr>
          <w:rFonts w:hint="eastAsia" w:ascii="仿宋_GB2312" w:hAnsi="仿宋_GB2312" w:eastAsia="仿宋_GB2312" w:cs="仿宋_GB2312"/>
          <w:sz w:val="32"/>
          <w:szCs w:val="32"/>
          <w:lang w:val="en-US" w:eastAsia="zh-CN"/>
        </w:rPr>
        <w:t>2018年，我单位部门预算纳入绩效管理的支出总额为400万元，其中人员经费支出0万元，公用经费支出0万元，支出项目共1个，支出总额400万元，其中预算支出30万元及以上应申报绩效的项目0个，支出总额0万元。</w:t>
      </w:r>
    </w:p>
    <w:p>
      <w:pPr>
        <w:pStyle w:val="5"/>
        <w:spacing w:line="600" w:lineRule="atLeast"/>
        <w:ind w:left="420"/>
        <w:rPr>
          <w:rFonts w:hint="default" w:ascii="黑体" w:hAnsi="黑体" w:eastAsia="黑体"/>
          <w:sz w:val="32"/>
        </w:rPr>
      </w:pPr>
      <w:r>
        <w:rPr>
          <w:rFonts w:hint="eastAsia" w:ascii="黑体" w:hAnsi="黑体" w:eastAsia="黑体"/>
          <w:sz w:val="32"/>
        </w:rPr>
        <w:t>（四）国有资产占用情况</w:t>
      </w:r>
    </w:p>
    <w:p>
      <w:pPr>
        <w:pStyle w:val="5"/>
        <w:spacing w:line="600" w:lineRule="atLeast"/>
        <w:rPr>
          <w:rFonts w:hint="default" w:ascii="仿宋_GB2312" w:eastAsia="仿宋_GB2312"/>
          <w:sz w:val="32"/>
        </w:rPr>
      </w:pPr>
      <w:r>
        <w:rPr>
          <w:rFonts w:hint="eastAsia" w:ascii="仿宋_GB2312" w:eastAsia="仿宋_GB2312"/>
          <w:sz w:val="32"/>
        </w:rPr>
        <w:t xml:space="preserve">    2017年期末，温县园林局固定资产总额71.9279万元，其中，房屋建筑物0万元，车辆33.9万元。共有车辆3辆，其中：一般公务用车0辆，执法执勤车0辆，专用车辆3辆，用于城区绿化区洒水；单价50万元以上通用设备0台（套），单位价值100万元以上专用设备0台（套）。</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kinsoku w:val="0"/>
        <w:overflowPunct w:val="0"/>
        <w:autoSpaceDE w:val="0"/>
        <w:autoSpaceDN w:val="0"/>
        <w:adjustRightInd w:val="0"/>
        <w:snapToGrid w:val="0"/>
        <w:spacing w:line="600" w:lineRule="exact"/>
        <w:ind w:firstLine="643" w:firstLineChars="200"/>
        <w:rPr>
          <w:rFonts w:ascii="仿宋_GB2312" w:hAnsi="仿宋_GB2312" w:eastAsia="仿宋_GB2312" w:cs="仿宋_GB2312"/>
          <w:b/>
          <w:kern w:val="0"/>
          <w:sz w:val="32"/>
          <w:szCs w:val="32"/>
        </w:rPr>
      </w:pPr>
    </w:p>
    <w:p>
      <w:pPr>
        <w:adjustRightInd w:val="0"/>
        <w:snapToGrid w:val="0"/>
        <w:spacing w:line="6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二、事业收入：是指事业单位开展专业活动及辅助活动所取 得的收入。</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三、其他收入：是指部门取得的除“财政拨款”、“事业收入”、“事业单位经营收入”等以外的收入。 </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Courier New"/>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八、城乡社区环境卫生支出：是指城乡道路清扫、垃圾清与处理、公厕建设与维护、园林绿化等方面的支出。</w:t>
      </w:r>
    </w:p>
    <w:p>
      <w:pPr>
        <w:adjustRightInd w:val="0"/>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附件：温县园林局2018年度部门预算表</w:t>
      </w:r>
    </w:p>
    <w:p>
      <w:pPr>
        <w:spacing w:line="600" w:lineRule="exact"/>
        <w:rPr>
          <w:rFonts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84365552">
    <w:nsid w:val="5E6F7FF0"/>
    <w:multiLevelType w:val="multilevel"/>
    <w:tmpl w:val="5E6F7FF0"/>
    <w:lvl w:ilvl="0" w:tentative="1">
      <w:start w:val="1"/>
      <w:numFmt w:val="decimal"/>
      <w:lvlText w:val="%1、"/>
      <w:lvlJc w:val="left"/>
      <w:pPr>
        <w:ind w:left="1780" w:hanging="1140"/>
      </w:pPr>
      <w:rPr>
        <w:rFonts w:hint="default" w:cs="仿宋_GB2312"/>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1515138474">
    <w:nsid w:val="5A4F2DAA"/>
    <w:multiLevelType w:val="singleLevel"/>
    <w:tmpl w:val="5A4F2DAA"/>
    <w:lvl w:ilvl="0" w:tentative="1">
      <w:start w:val="1"/>
      <w:numFmt w:val="chineseCounting"/>
      <w:suff w:val="nothing"/>
      <w:lvlText w:val="（%1）"/>
      <w:lvlJc w:val="left"/>
    </w:lvl>
  </w:abstractNum>
  <w:num w:numId="1">
    <w:abstractNumId w:val="1517907436"/>
  </w:num>
  <w:num w:numId="2">
    <w:abstractNumId w:val="1520564614"/>
  </w:num>
  <w:num w:numId="3">
    <w:abstractNumId w:val="1515138474"/>
  </w:num>
  <w:num w:numId="4">
    <w:abstractNumId w:val="15843655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p0"/>
    <w:basedOn w:val="1"/>
    <w:unhideWhenUsed/>
    <w:qFormat/>
    <w:uiPriority w:val="99"/>
    <w:pPr>
      <w:widowControl/>
    </w:pPr>
    <w:rPr>
      <w:rFonts w:hint="eastAsia" w:ascii="Calibri" w:hAnsi="Calibri"/>
    </w:rPr>
  </w:style>
  <w:style w:type="character" w:customStyle="1" w:styleId="6">
    <w:name w:val="页眉 Char Char"/>
    <w:basedOn w:val="4"/>
    <w:link w:val="3"/>
    <w:uiPriority w:val="0"/>
    <w:rPr>
      <w:rFonts w:ascii="Calibri" w:hAnsi="Calibri" w:cs="黑体"/>
      <w:kern w:val="2"/>
      <w:sz w:val="18"/>
      <w:szCs w:val="18"/>
    </w:rPr>
  </w:style>
  <w:style w:type="character" w:customStyle="1" w:styleId="7">
    <w:name w:val="页脚 Char Char"/>
    <w:basedOn w:val="4"/>
    <w:link w:val="2"/>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Words>
  <Characters>1747</Characters>
  <Lines>14</Lines>
  <Paragraphs>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Administrator</cp:lastModifiedBy>
  <cp:lastPrinted>2018-03-09T07:54:00Z</cp:lastPrinted>
  <dcterms:modified xsi:type="dcterms:W3CDTF">2018-11-08T08:04:16Z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