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工信委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温县工业和信息化委员会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-9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办公室，经济运行科、产业规划科，中小企业科，行业管理科，信息化科。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 w:firstLineChars="200"/>
        <w:jc w:val="left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  <w:r>
        <w:rPr>
          <w:rFonts w:hint="eastAsia"/>
          <w:sz w:val="32"/>
          <w:szCs w:val="32"/>
        </w:rPr>
        <w:t xml:space="preserve"> </w:t>
      </w:r>
    </w:p>
    <w:p>
      <w:pPr>
        <w:numPr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提出全县新型工业化发展战略和措施，协调解决新型工业化进程中的重大问题，拟订并组织实施全县工业、信息化发展规划，推进产业结构战略性调整和优化升级，推进信息化和工业化融合。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监测分析工业、通信业日常运行情况；承担工业用电应急管理及电力设施保护工作；指导工业企业加强安全生产管理工作；承担县春运领导小组办公室日常工作。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做好国家、省、市扶持中小企业发展专项资金的争取和项目验收工作。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拟订全县工业、信息化发展规划；提出国家、省、市对口部门和本县用于工业和信息化财政性建设资金、技术改造资金安排的建议；组织拟订监督执行全县工业、信息化的产业政策，提出推进产业结构调整、工业与相关产业融合发展及管理创新的政策建议；制定并组织实施相关行业准入条件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实施国家高新技术产业中涉及生物医药、新材料、信息产业等的规划、政策和标准，指导行业技术创新和技术进步，以先进的技术改造提升传统产业，组织实施国家、省、市和县有关科技重大专项，推进相关科研成果产业化，推动全县软件业、信息服务业和新兴产业发展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钢铁、有色、石化、化工、建材等行业管理工作；承担农药化学物资行政保护有关工作；依法规范和整顿煤炭市场经营秩序；承担轻工、纺织、食品、医药、家电、工艺美术等的行业管理工作。承担通用机械、汽车、轨道交通机械制造业等的行业管理工作，拟订重大技术装备发展和自主创新规划、政策并组织实施；承担民用爆破器材安全生产、销售许可的管理工作；监督管理民用爆破器材安全生产；承担民用爆破器材技术、质量、标准的管理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定并组织实施全县工业、信息化的能源节约和资源综合利用、清洁生产促进措施，参与拟订能源节约和资源综合利用、清洁生产促进规划，组织协调相关重大示范工程和新产品、新技术、新设备、新材料的推广应用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推进全县信息化工作，组织制定相关政策并协调信息化建设中的重大问题，促进电信、广播电视和计算机网络融合，指导协调电子政务、电子商务发展，推动跨行业、跨部门的互联互通和重要信息资源的开发利用、共享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承担相关信息安全管理的责任，负责协调维护全县信息安全和信息安全保障体系建设，指导监督政府部门、重点行业的重要信息系统和基础信息网络的安全保障工作，协调处理信息安全重大事件。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担保机构及小额贷款公司设立的初审和监督；监督企业信用担保资金运作；研究提出改善企业融资环境的政策建议，拓宽融资渠道；协调企业享受政府贴息贷款政策的落实；提出企业发展专项资金年度预算建议；引导和推动民间资金、其他金融机构投资企业发展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指导工业企业实施战略性改组，推进现代企业制度的建立，促进企业加强经营管理和企业文化建设；负责组织企业高层管理人员培训工作。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（十二）负责县直属工业企业和局机关的党建工作；负责全县工业企业的减负工作。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提出全县新型工业化发展战略和措施，协调解决新型工业化进程中的重大问题，拟订并组织实施全县工业、信息化发展规划，推进产业结构战略性调整和优化升级，推进信息化和工业化融合。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监测分析工业、通信业日常运行情况；承担工业用电应急管理及电力设施保护工作；指导工业企业加强安全生产管理工作；承担县春运领导小组办公室日常工作。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做好国家、省、市扶持中小企业发展专项资金的争取和项目验收工作。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拟订全县工业、信息化发展规划；提出国家、省、市对口部门和本县用于工业和信息化财政性建设资金、技术改造资金安排的建议；组织拟订监督执行全县工业、信息化的产业政策，提出推进产业结构调整、工业与相关产业融合发展及管理创新的政策建议；制定并组织实施相关行业准入条件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实施国家高新技术产业中涉及生物医药、新材料、信息产业等的规划、政策和标准，指导行业技术创新和技术进步，以先进的技术改造提升传统产业，组织实施国家、省、市和县有关科技重大专项，推进相关科研成果产业化，推动全县软件业、信息服务业和新兴产业发展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钢铁、有色、石化、化工、建材等行业管理工作；承担农药化学物资行政保护有关工作；依法规范和整顿煤炭市场经营秩序；承担轻工、纺织、食品、医药、家电、工艺美术等的行业管理工作。承担通用机械、汽车、轨道交通机械制造业等的行业管理工作，拟订重大技术装备发展和自主创新规划、政策并组织实施；承担民用爆破器材安全生产、销售许可的管理工作；监督管理民用爆破器材安全生产；承担民用爆破器材技术、质量、标准的管理工作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定并组织实施全县工业、信息化的能源节约和资源综合利用、清洁生产促进措施，参与拟订能源节约和资源综合利用、清洁生产促进规划，组织协调相关重大示范工程和新产品、新技术、新设备、新材料的推广应用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推进全县信息化工作，组织制定相关政策并协调信息化建设中的重大问题，促进电信、广播电视和计算机网络融合，指导协调电子政务、电子商务发展，推动跨行业、跨部门的互联互通和重要信息资源的开发利用、共享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承担相关信息安全管理的责任，负责协调维护全县信息安全和信息安全保障体系建设，指导监督政府部门、重点行业的重要信息系统和基础信息网络的安全保障工作，协调处理信息安全重大事件。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担保机构及小额贷款公司设立的初审和监督；监督企业信用担保资金运作；研究提出改善企业融资环境的政策建议，拓宽融资渠道；协调企业享受政府贴息贷款政策的落实；提出企业发展专项资金年度预算建议；引导和推动民间资金、其他金融机构投资企业发展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指导工业企业实施战略性改组，推进现代企业制度的建立，促进企业加强经营管理和企业文化建设；负责组织企业高层管理人员培训工作。</w:t>
      </w:r>
    </w:p>
    <w:p>
      <w:pPr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（十二）负责县直属工业企业和局机关的党建工作；负责全县工业企业的减负工作。</w:t>
      </w:r>
    </w:p>
    <w:p>
      <w:pPr>
        <w:numPr>
          <w:ilvl w:val="0"/>
          <w:numId w:val="5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部门预算单位构成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我单位有二级机构 1个，本预算为汇总预算，纳入我单位2018年部门预算编报范围的二级机构有：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温县工业经济服务中心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温县工业和信息化委员会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10.56%。主要原因：人员减少。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温县工业和信息化委员会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141.29万元，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温县工业和信息化委员会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95.11%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7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工业和信息化委员会</w:t>
      </w:r>
      <w:r>
        <w:rPr>
          <w:rFonts w:hint="eastAsia" w:ascii="仿宋_GB2312" w:eastAsia="仿宋_GB2312"/>
          <w:sz w:val="32"/>
        </w:rPr>
        <w:t>2018年一般公共预算收支预算</w:t>
      </w:r>
      <w:r>
        <w:rPr>
          <w:rFonts w:hint="eastAsia" w:ascii="仿宋_GB2312" w:eastAsia="仿宋_GB2312"/>
          <w:sz w:val="32"/>
          <w:lang w:val="en-US" w:eastAsia="zh-CN"/>
        </w:rPr>
        <w:t>143.29</w:t>
      </w:r>
      <w:r>
        <w:rPr>
          <w:rFonts w:hint="eastAsia" w:ascii="仿宋_GB2312" w:eastAsia="仿宋_GB2312"/>
          <w:sz w:val="32"/>
        </w:rPr>
        <w:t>万元。政府性基金收支预算0万元，与 2017年相比，一般公共预算收支预算</w:t>
      </w:r>
      <w:r>
        <w:rPr>
          <w:rFonts w:hint="eastAsia" w:ascii="仿宋_GB2312" w:eastAsia="仿宋_GB2312"/>
          <w:sz w:val="32"/>
          <w:lang w:val="en-US" w:eastAsia="zh-CN"/>
        </w:rPr>
        <w:t>减少16.91</w:t>
      </w:r>
      <w:r>
        <w:rPr>
          <w:rFonts w:hint="eastAsia" w:ascii="仿宋_GB2312" w:eastAsia="仿宋_GB2312"/>
          <w:sz w:val="32"/>
        </w:rPr>
        <w:t>万元，</w:t>
      </w:r>
      <w:r>
        <w:rPr>
          <w:rFonts w:hint="eastAsia" w:ascii="仿宋_GB2312" w:eastAsia="仿宋_GB2312"/>
          <w:sz w:val="32"/>
          <w:lang w:eastAsia="zh-CN"/>
        </w:rPr>
        <w:t>降低</w:t>
      </w:r>
      <w:r>
        <w:rPr>
          <w:rFonts w:hint="eastAsia" w:ascii="仿宋_GB2312" w:eastAsia="仿宋_GB2312"/>
          <w:sz w:val="32"/>
          <w:lang w:val="en-US" w:eastAsia="zh-CN"/>
        </w:rPr>
        <w:t>10.6</w:t>
      </w:r>
      <w:r>
        <w:rPr>
          <w:rFonts w:hint="eastAsia" w:ascii="仿宋_GB2312" w:eastAsia="仿宋_GB2312"/>
          <w:sz w:val="32"/>
        </w:rPr>
        <w:t>%，主要原因：</w:t>
      </w:r>
      <w:r>
        <w:rPr>
          <w:rFonts w:hint="eastAsia" w:ascii="仿宋_GB2312" w:eastAsia="仿宋_GB2312"/>
          <w:sz w:val="32"/>
          <w:lang w:eastAsia="zh-CN"/>
        </w:rPr>
        <w:t>人员减少</w:t>
      </w:r>
      <w:r>
        <w:rPr>
          <w:rFonts w:hint="eastAsia" w:ascii="仿宋_GB2312" w:eastAsia="仿宋_GB2312"/>
          <w:sz w:val="32"/>
        </w:rPr>
        <w:t>；政府性基金收支与2017年保持一致。</w:t>
      </w:r>
    </w:p>
    <w:p>
      <w:pPr>
        <w:pStyle w:val="7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7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工业和信息化委员会</w:t>
      </w:r>
      <w:r>
        <w:rPr>
          <w:rFonts w:hint="eastAsia" w:ascii="仿宋_GB2312" w:eastAsia="仿宋_GB2312"/>
          <w:sz w:val="32"/>
        </w:rPr>
        <w:t>2018年一般公共预算支出年初预算为</w:t>
      </w:r>
      <w:r>
        <w:rPr>
          <w:rFonts w:hint="eastAsia" w:ascii="仿宋_GB2312" w:eastAsia="仿宋_GB2312"/>
          <w:sz w:val="32"/>
          <w:lang w:val="en-US" w:eastAsia="zh-CN"/>
        </w:rPr>
        <w:t>143.29</w:t>
      </w:r>
      <w:r>
        <w:rPr>
          <w:rFonts w:hint="eastAsia" w:ascii="仿宋_GB2312" w:eastAsia="仿宋_GB2312"/>
          <w:sz w:val="32"/>
        </w:rPr>
        <w:t>万元。主要用于以下方面：社会保障和就业支出</w:t>
      </w:r>
      <w:r>
        <w:rPr>
          <w:rFonts w:hint="eastAsia" w:ascii="仿宋_GB2312" w:eastAsia="仿宋_GB2312"/>
          <w:sz w:val="32"/>
          <w:lang w:val="en-US" w:eastAsia="zh-CN"/>
        </w:rPr>
        <w:t>19.27</w:t>
      </w:r>
      <w:r>
        <w:rPr>
          <w:rFonts w:hint="eastAsia" w:ascii="仿宋_GB2312" w:eastAsia="仿宋_GB2312"/>
          <w:sz w:val="32"/>
        </w:rPr>
        <w:t>万元，占</w:t>
      </w:r>
      <w:r>
        <w:rPr>
          <w:rFonts w:hint="eastAsia" w:ascii="仿宋_GB2312" w:eastAsia="仿宋_GB2312"/>
          <w:sz w:val="32"/>
          <w:lang w:val="en-US" w:eastAsia="zh-CN"/>
        </w:rPr>
        <w:t>13.4</w:t>
      </w:r>
      <w:r>
        <w:rPr>
          <w:rFonts w:hint="eastAsia" w:ascii="仿宋_GB2312" w:eastAsia="仿宋_GB2312"/>
          <w:sz w:val="32"/>
        </w:rPr>
        <w:t>%；医疗卫生与计划生育支出</w:t>
      </w:r>
      <w:r>
        <w:rPr>
          <w:rFonts w:hint="eastAsia" w:ascii="仿宋_GB2312" w:eastAsia="仿宋_GB2312"/>
          <w:sz w:val="32"/>
          <w:lang w:val="en-US" w:eastAsia="zh-CN"/>
        </w:rPr>
        <w:t>6.87</w:t>
      </w:r>
      <w:r>
        <w:rPr>
          <w:rFonts w:hint="eastAsia" w:ascii="仿宋_GB2312" w:eastAsia="仿宋_GB2312"/>
          <w:sz w:val="32"/>
        </w:rPr>
        <w:t>万元，占</w:t>
      </w:r>
      <w:r>
        <w:rPr>
          <w:rFonts w:hint="eastAsia" w:ascii="仿宋_GB2312" w:eastAsia="仿宋_GB2312"/>
          <w:sz w:val="32"/>
          <w:lang w:val="en-US" w:eastAsia="zh-CN"/>
        </w:rPr>
        <w:t>4.8</w:t>
      </w:r>
      <w:r>
        <w:rPr>
          <w:rFonts w:hint="eastAsia" w:ascii="仿宋_GB2312" w:eastAsia="仿宋_GB2312"/>
          <w:sz w:val="32"/>
        </w:rPr>
        <w:t>%；资源勘探信息等支出</w:t>
      </w:r>
      <w:r>
        <w:rPr>
          <w:rFonts w:hint="eastAsia" w:ascii="仿宋_GB2312" w:eastAsia="仿宋_GB2312"/>
          <w:sz w:val="32"/>
          <w:lang w:val="en-US" w:eastAsia="zh-CN"/>
        </w:rPr>
        <w:t>117.15</w:t>
      </w:r>
      <w:r>
        <w:rPr>
          <w:rFonts w:hint="eastAsia" w:ascii="仿宋_GB2312" w:eastAsia="仿宋_GB2312"/>
          <w:sz w:val="32"/>
        </w:rPr>
        <w:t>万元，占</w:t>
      </w:r>
      <w:r>
        <w:rPr>
          <w:rFonts w:hint="eastAsia" w:ascii="仿宋_GB2312" w:eastAsia="仿宋_GB2312"/>
          <w:sz w:val="32"/>
          <w:lang w:val="en-US" w:eastAsia="zh-CN"/>
        </w:rPr>
        <w:t>81.8</w:t>
      </w:r>
      <w:r>
        <w:rPr>
          <w:rFonts w:hint="eastAsia" w:ascii="仿宋_GB2312" w:eastAsia="仿宋_GB2312"/>
          <w:sz w:val="32"/>
        </w:rPr>
        <w:t>%。</w:t>
      </w:r>
    </w:p>
    <w:p>
      <w:pPr>
        <w:pStyle w:val="7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工业和信息化委员会</w:t>
      </w:r>
      <w:r>
        <w:rPr>
          <w:rFonts w:hint="eastAsia" w:ascii="仿宋_GB2312" w:eastAsia="仿宋_GB2312"/>
          <w:sz w:val="32"/>
        </w:rPr>
        <w:t>2018年一般公共预算基本支出</w:t>
      </w:r>
      <w:r>
        <w:rPr>
          <w:rFonts w:hint="eastAsia" w:ascii="仿宋_GB2312" w:eastAsia="仿宋_GB2312"/>
          <w:sz w:val="32"/>
          <w:lang w:val="en-US" w:eastAsia="zh-CN"/>
        </w:rPr>
        <w:t>136.29</w:t>
      </w:r>
      <w:r>
        <w:rPr>
          <w:rFonts w:hint="eastAsia" w:ascii="仿宋_GB2312" w:eastAsia="仿宋_GB2312"/>
          <w:sz w:val="32"/>
        </w:rPr>
        <w:t>万元，其中：人员经费</w:t>
      </w:r>
      <w:r>
        <w:rPr>
          <w:rFonts w:hint="eastAsia" w:ascii="仿宋_GB2312" w:eastAsia="仿宋_GB2312"/>
          <w:sz w:val="32"/>
          <w:lang w:val="en-US" w:eastAsia="zh-CN"/>
        </w:rPr>
        <w:t>123.15</w:t>
      </w:r>
      <w:r>
        <w:rPr>
          <w:rFonts w:hint="eastAsia" w:ascii="仿宋_GB2312" w:eastAsia="仿宋_GB2312"/>
          <w:sz w:val="32"/>
        </w:rPr>
        <w:t>万元，基本工资、津贴补贴、绩效工资、机关事业单位基本养老保险缴费、医疗保险缴费、其他社会保障缴费；公用经费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lang w:val="en-US" w:eastAsia="zh-CN"/>
        </w:rPr>
        <w:t>13.14</w:t>
      </w:r>
      <w:r>
        <w:rPr>
          <w:rFonts w:hint="eastAsia" w:ascii="仿宋_GB2312" w:eastAsia="仿宋_GB2312"/>
          <w:sz w:val="32"/>
        </w:rPr>
        <w:t>万元，主要包括：办公费、电费、差旅费、公务接待费、公务用车运行维护费、其他交通费用。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温县工业和信息化委员会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6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0万元。预算数与2017年预算数保持一致。增长0%。</w:t>
      </w:r>
    </w:p>
    <w:p>
      <w:pPr>
        <w:numPr>
          <w:ilvl w:val="0"/>
          <w:numId w:val="6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0万元，与2017年预算数保持一致，增长0%。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与2017年预算数保持一致，增长0%。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0.13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比2017年减少0.67万元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按“八项规定”要求，三公经费逐年递减。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购买电脑1台，复印机1台、投影仪1台。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2017年，我单位未开展绩效评价工作。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万元及以上应申报绩效的项目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7"/>
        <w:spacing w:line="60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pStyle w:val="7"/>
        <w:spacing w:line="60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2017年期末，温县工业和信息委员会固定资产总额67.30万元，其中，房屋建筑物31.81万元，车辆12.6万元。共有车辆1辆，其中：一般公务用车1辆，执法执勤车0辆，单价50万元以上通用设备0台（套），单位价值100万元以上专用设备0台（套）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  <w:bookmarkStart w:id="0" w:name="_GoBack"/>
      <w:bookmarkEnd w:id="0"/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八、信息化建设：随着计算机技术、网络技术和通信技术的发展和应用，利用现代信息技术来支撑管理的手段和过程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温县工业和信息化委员会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2184"/>
        </w:tabs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HGPAI+FangSong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3">
    <w:nsid w:val="00000003"/>
    <w:multiLevelType w:val="singleLevel"/>
    <w:tmpl w:val="00000003"/>
    <w:lvl w:ilvl="0" w:tentative="1">
      <w:start w:val="1"/>
      <w:numFmt w:val="chineseCounting"/>
      <w:suff w:val="nothing"/>
      <w:lvlText w:val="（%1）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20901452">
    <w:nsid w:val="5AA71D4C"/>
    <w:multiLevelType w:val="singleLevel"/>
    <w:tmpl w:val="5AA71D4C"/>
    <w:lvl w:ilvl="0" w:tentative="1">
      <w:start w:val="2"/>
      <w:numFmt w:val="chineseCounting"/>
      <w:suff w:val="nothing"/>
      <w:lvlText w:val="%1、"/>
      <w:lvlJc w:val="left"/>
    </w:lvl>
  </w:abstractNum>
  <w:abstractNum w:abstractNumId="1520904483">
    <w:nsid w:val="5AA72923"/>
    <w:multiLevelType w:val="singleLevel"/>
    <w:tmpl w:val="5AA72923"/>
    <w:lvl w:ilvl="0" w:tentative="1">
      <w:start w:val="2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1520904483"/>
  </w:num>
  <w:num w:numId="4">
    <w:abstractNumId w:val="3"/>
  </w:num>
  <w:num w:numId="5">
    <w:abstractNumId w:val="1520901452"/>
  </w:num>
  <w:num w:numId="6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b/>
      <w:bCs/>
      <w:kern w:val="0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kern w:val="0"/>
      <w:szCs w:val="32"/>
    </w:rPr>
  </w:style>
  <w:style w:type="character" w:default="1" w:styleId="6">
    <w:name w:val="Default Paragraph Font"/>
    <w:semiHidden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customStyle="1" w:styleId="7">
    <w:name w:val="p0"/>
    <w:basedOn w:val="1"/>
    <w:unhideWhenUsed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null,null,总收发</cp:lastModifiedBy>
  <cp:lastPrinted>2018-03-09T07:54:00Z</cp:lastPrinted>
  <dcterms:modified xsi:type="dcterms:W3CDTF">2019-03-17T08:57:24Z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