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温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县统计局重大执法决定法制审核目录清单</w:t>
      </w:r>
    </w:p>
    <w:tbl>
      <w:tblPr>
        <w:tblStyle w:val="5"/>
        <w:tblW w:w="98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042"/>
        <w:gridCol w:w="2200"/>
        <w:gridCol w:w="2526"/>
        <w:gridCol w:w="35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审核事项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审核依据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应提交审核材料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480" w:firstLineChars="200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企业事业单位或者其他组织并处五万元以下的罚款;情节严重的，并处五万元以上二十万元以下的罚款。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《中华人民共和国统计法》第四十一条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"_Toc21948"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案件调查终结报告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"_Toc29189"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重大复杂案件集体讨论笔录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"_Toc1775"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行政处罚听证笔录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"_Toc19968"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陈述（申辩）笔录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行政处罚决定书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和相关证据资料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480" w:firstLineChars="200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个体工商户由县级以上人民政府统计机构责令改正，给予警告，可以并处一万元以下的罚款。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《中华人民共和国统计法》第四十一条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"_Toc21948"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案件调查终结报告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"_Toc29189"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重大复杂案件集体讨论笔录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"_Toc1775"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行政处罚听证笔录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"_Toc19968"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陈述（申辩）笔录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行政处罚决定书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和相关证据资料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企业事业单位或者其他组织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并处一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万元以下的罚款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《中华人民共和国统计法》第四十二条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"_Toc21948"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案件调查终结报告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"_Toc29189"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重大复杂案件集体讨论笔录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"_Toc1775"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行政处罚听证笔录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"_Toc19968"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陈述（申辩）笔录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行政处罚决定书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和相关证据资料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个体工商户由县级以上人民政府统计机构责令改正，给予警告，可以并处一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元以下的罚款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《中华人民共和国统计法》第四十二条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"_Toc21948"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案件调查终结报告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"_Toc29189"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重大复杂案件集体讨论笔录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"_Toc1775"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行政处罚听证笔录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"_Toc19968"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陈述（申辩）笔录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pStyle w:val="2"/>
              <w:tabs>
                <w:tab w:val="right" w:leader="dot" w:pos="907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行政处罚决定书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和相关证据资料</w:t>
            </w:r>
          </w:p>
        </w:tc>
      </w:tr>
    </w:tbl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tabs>
          <w:tab w:val="right" w:leader="dot" w:pos="9070"/>
        </w:tabs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tabs>
          <w:tab w:val="right" w:leader="dot" w:pos="9070"/>
        </w:tabs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41616"/>
    <w:rsid w:val="036907EB"/>
    <w:rsid w:val="0FC63627"/>
    <w:rsid w:val="305416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2020-10-15T00:16:00Z</dcterms:created>
  <dc:creator>宋二</dc:creator>
  <cp:lastModifiedBy>Administrator</cp:lastModifiedBy>
  <dcterms:modified xsi:type="dcterms:W3CDTF">2020-12-17T00:18:35Z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