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95" w:rsidRDefault="00E722BA">
      <w:pPr>
        <w:pStyle w:val="a5"/>
        <w:widowControl w:val="0"/>
        <w:shd w:val="clear" w:color="auto" w:fill="FFFFFF"/>
        <w:overflowPunct w:val="0"/>
        <w:spacing w:before="0" w:beforeAutospacing="0" w:after="0" w:afterAutospacing="0" w:line="576" w:lineRule="exact"/>
        <w:jc w:val="both"/>
        <w:textAlignment w:val="top"/>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附件</w:t>
      </w:r>
      <w:r>
        <w:rPr>
          <w:rFonts w:ascii="黑体" w:eastAsia="黑体" w:hAnsi="黑体" w:cs="黑体" w:hint="eastAsia"/>
          <w:sz w:val="32"/>
          <w:szCs w:val="32"/>
          <w:shd w:val="clear" w:color="auto" w:fill="FFFFFF"/>
        </w:rPr>
        <w:t>1</w:t>
      </w:r>
    </w:p>
    <w:p w:rsidR="00663395" w:rsidRDefault="00663395">
      <w:pPr>
        <w:pStyle w:val="a5"/>
        <w:widowControl w:val="0"/>
        <w:shd w:val="clear" w:color="auto" w:fill="FFFFFF"/>
        <w:overflowPunct w:val="0"/>
        <w:spacing w:before="0" w:beforeAutospacing="0" w:after="0" w:afterAutospacing="0" w:line="400" w:lineRule="exact"/>
        <w:jc w:val="center"/>
        <w:textAlignment w:val="top"/>
        <w:rPr>
          <w:rFonts w:ascii="方正小标宋简体" w:eastAsia="方正小标宋简体" w:hAnsi="方正小标宋简体" w:cs="方正小标宋简体"/>
          <w:sz w:val="44"/>
          <w:szCs w:val="44"/>
          <w:shd w:val="clear" w:color="auto" w:fill="FFFFFF"/>
        </w:rPr>
      </w:pPr>
    </w:p>
    <w:p w:rsidR="00663395" w:rsidRDefault="00E722BA">
      <w:pPr>
        <w:pStyle w:val="a5"/>
        <w:widowControl w:val="0"/>
        <w:shd w:val="clear" w:color="auto" w:fill="FFFFFF"/>
        <w:overflowPunct w:val="0"/>
        <w:spacing w:before="0" w:beforeAutospacing="0" w:after="0" w:afterAutospacing="0" w:line="576" w:lineRule="exact"/>
        <w:jc w:val="center"/>
        <w:textAlignment w:val="top"/>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承接落实</w:t>
      </w:r>
      <w:r>
        <w:rPr>
          <w:rFonts w:ascii="方正小标宋简体" w:eastAsia="方正小标宋简体" w:hAnsi="方正小标宋简体" w:cs="方正小标宋简体" w:hint="eastAsia"/>
          <w:sz w:val="44"/>
          <w:szCs w:val="44"/>
          <w:shd w:val="clear" w:color="auto" w:fill="FFFFFF"/>
        </w:rPr>
        <w:t>255</w:t>
      </w:r>
      <w:r>
        <w:rPr>
          <w:rFonts w:ascii="方正小标宋简体" w:eastAsia="方正小标宋简体" w:hAnsi="方正小标宋简体" w:cs="方正小标宋简体" w:hint="eastAsia"/>
          <w:sz w:val="44"/>
          <w:szCs w:val="44"/>
          <w:shd w:val="clear" w:color="auto" w:fill="FFFFFF"/>
        </w:rPr>
        <w:t>项市级经济社会管理权限清单</w:t>
      </w:r>
    </w:p>
    <w:p w:rsidR="00663395" w:rsidRDefault="00663395">
      <w:pPr>
        <w:pStyle w:val="a5"/>
        <w:widowControl w:val="0"/>
        <w:shd w:val="clear" w:color="auto" w:fill="FFFFFF"/>
        <w:overflowPunct w:val="0"/>
        <w:spacing w:before="0" w:beforeAutospacing="0" w:after="0" w:afterAutospacing="0" w:line="576" w:lineRule="exact"/>
        <w:jc w:val="center"/>
        <w:textAlignment w:val="top"/>
        <w:rPr>
          <w:rFonts w:ascii="方正小标宋简体" w:eastAsia="方正小标宋简体" w:hAnsi="方正小标宋简体" w:cs="方正小标宋简体"/>
          <w:sz w:val="44"/>
          <w:szCs w:val="44"/>
          <w:shd w:val="clear" w:color="auto" w:fill="FFFFFF"/>
        </w:rPr>
      </w:pPr>
    </w:p>
    <w:tbl>
      <w:tblPr>
        <w:tblW w:w="9210" w:type="dxa"/>
        <w:jc w:val="center"/>
        <w:tblLayout w:type="fixed"/>
        <w:tblCellMar>
          <w:left w:w="0" w:type="dxa"/>
          <w:right w:w="0" w:type="dxa"/>
        </w:tblCellMar>
        <w:tblLook w:val="04A0"/>
      </w:tblPr>
      <w:tblGrid>
        <w:gridCol w:w="915"/>
        <w:gridCol w:w="6150"/>
        <w:gridCol w:w="2145"/>
      </w:tblGrid>
      <w:tr w:rsidR="00663395">
        <w:trPr>
          <w:trHeight w:val="624"/>
          <w:tblHeade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黑体" w:eastAsia="黑体" w:hAnsi="Arial" w:cs="黑体"/>
                <w:bCs/>
                <w:sz w:val="28"/>
                <w:szCs w:val="28"/>
              </w:rPr>
            </w:pPr>
            <w:r>
              <w:rPr>
                <w:rFonts w:ascii="黑体" w:eastAsia="黑体" w:hAnsi="Arial" w:cs="黑体" w:hint="eastAsia"/>
                <w:bCs/>
                <w:kern w:val="0"/>
                <w:sz w:val="28"/>
                <w:szCs w:val="28"/>
                <w:lang/>
              </w:rPr>
              <w:t>序号</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黑体" w:eastAsia="黑体" w:hAnsi="Arial" w:cs="黑体"/>
                <w:bCs/>
                <w:sz w:val="28"/>
                <w:szCs w:val="28"/>
              </w:rPr>
            </w:pPr>
            <w:r>
              <w:rPr>
                <w:rFonts w:ascii="黑体" w:eastAsia="黑体" w:hAnsi="Arial" w:cs="黑体" w:hint="eastAsia"/>
                <w:bCs/>
                <w:kern w:val="0"/>
                <w:sz w:val="28"/>
                <w:szCs w:val="28"/>
                <w:lang/>
              </w:rPr>
              <w:t>权限名称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黑体" w:eastAsia="黑体" w:hAnsi="Arial" w:cs="黑体"/>
                <w:bCs/>
                <w:sz w:val="28"/>
                <w:szCs w:val="28"/>
              </w:rPr>
            </w:pPr>
            <w:r>
              <w:rPr>
                <w:rFonts w:ascii="黑体" w:eastAsia="黑体" w:hAnsi="Arial" w:cs="黑体" w:hint="eastAsia"/>
                <w:bCs/>
                <w:kern w:val="0"/>
                <w:sz w:val="28"/>
                <w:szCs w:val="28"/>
                <w:lang/>
              </w:rPr>
              <w:t>县级承接部门</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县域城镇污水、垃圾、供水等基础设施项目涉及中央预算内投资计划项目申报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保障性住房项目涉及中央预算内投资计划项目申报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476"/>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农村饮水安全项目实施方案审批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使用省级政府投资补助和贴息资金的公路运输场站项目申报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48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省级服务业发展引导资金项目申报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462"/>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省节能减排专项资金申报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1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41"/>
                <w:rFonts w:hAnsi="Arial" w:hint="default"/>
                <w:color w:val="auto"/>
                <w:lang/>
              </w:rPr>
              <w:t>企业投资的国家级自然保护区、国家级风景名胜区、全国重点保护文物单位内限额在</w:t>
            </w:r>
            <w:r>
              <w:rPr>
                <w:rStyle w:val="font51"/>
                <w:rFonts w:eastAsia="仿宋_GB2312"/>
                <w:color w:val="auto"/>
                <w:lang/>
              </w:rPr>
              <w:t>5000</w:t>
            </w:r>
            <w:r>
              <w:rPr>
                <w:rStyle w:val="font41"/>
                <w:rFonts w:hAnsi="Arial" w:hint="default"/>
                <w:color w:val="auto"/>
                <w:lang/>
              </w:rPr>
              <w:t>万元以上、世界自然和文化遗产保护区内限额在</w:t>
            </w:r>
            <w:r>
              <w:rPr>
                <w:rStyle w:val="font51"/>
                <w:rFonts w:eastAsia="仿宋_GB2312"/>
                <w:color w:val="auto"/>
                <w:lang/>
              </w:rPr>
              <w:t>3000</w:t>
            </w:r>
            <w:r>
              <w:rPr>
                <w:rStyle w:val="font41"/>
                <w:rFonts w:hAnsi="Arial" w:hint="default"/>
                <w:color w:val="auto"/>
                <w:lang/>
              </w:rPr>
              <w:t>万元以上的建设项目核准申报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112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高速公路、干线公路、国防战备公路、农村公路、公路运输场站、水运建设项目年度交通建设计划编制并申报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非跨县（市）的高速公路等经营性公路、桥梁建设项目法人确定</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112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41"/>
                <w:rFonts w:hAnsi="Arial" w:hint="default"/>
                <w:color w:val="auto"/>
                <w:lang/>
              </w:rPr>
              <w:t>县级社会事业固定资产投资项目审批、核准、备案（不含豫政办〔</w:t>
            </w:r>
            <w:r>
              <w:rPr>
                <w:rStyle w:val="font51"/>
                <w:rFonts w:eastAsia="仿宋_GB2312"/>
                <w:color w:val="auto"/>
                <w:lang/>
              </w:rPr>
              <w:t>2017</w:t>
            </w:r>
            <w:r>
              <w:rPr>
                <w:rStyle w:val="font41"/>
                <w:rFonts w:hAnsi="Arial" w:hint="default"/>
                <w:color w:val="auto"/>
                <w:lang/>
              </w:rPr>
              <w:t>〕</w:t>
            </w:r>
            <w:r>
              <w:rPr>
                <w:rStyle w:val="font51"/>
                <w:rFonts w:eastAsia="仿宋_GB2312"/>
                <w:color w:val="auto"/>
                <w:lang/>
              </w:rPr>
              <w:t>56</w:t>
            </w:r>
            <w:r>
              <w:rPr>
                <w:rStyle w:val="font41"/>
                <w:rFonts w:hAnsi="Arial" w:hint="default"/>
                <w:color w:val="auto"/>
                <w:lang/>
              </w:rPr>
              <w:t>号文件规定的社会事业领域</w:t>
            </w:r>
            <w:r>
              <w:rPr>
                <w:rStyle w:val="font41"/>
                <w:rFonts w:hAnsi="Arial" w:hint="default"/>
                <w:color w:val="auto"/>
                <w:lang/>
              </w:rPr>
              <w:t>“</w:t>
            </w:r>
            <w:r>
              <w:rPr>
                <w:rStyle w:val="font41"/>
                <w:rFonts w:hAnsi="Arial" w:hint="default"/>
                <w:color w:val="auto"/>
                <w:lang/>
              </w:rPr>
              <w:t>主题公园</w:t>
            </w:r>
            <w:r>
              <w:rPr>
                <w:rStyle w:val="font41"/>
                <w:rFonts w:hAnsi="Arial" w:hint="default"/>
                <w:color w:val="auto"/>
                <w:lang/>
              </w:rPr>
              <w:t>”</w:t>
            </w:r>
            <w:r>
              <w:rPr>
                <w:rStyle w:val="font41"/>
                <w:rFonts w:hAnsi="Arial" w:hint="default"/>
                <w:color w:val="auto"/>
                <w:lang/>
              </w:rPr>
              <w:t>和</w:t>
            </w:r>
            <w:r>
              <w:rPr>
                <w:rStyle w:val="font41"/>
                <w:rFonts w:hAnsi="Arial" w:hint="default"/>
                <w:color w:val="auto"/>
                <w:lang/>
              </w:rPr>
              <w:t>“</w:t>
            </w:r>
            <w:r>
              <w:rPr>
                <w:rStyle w:val="font41"/>
                <w:rFonts w:hAnsi="Arial" w:hint="default"/>
                <w:color w:val="auto"/>
                <w:lang/>
              </w:rPr>
              <w:t>旅游</w:t>
            </w:r>
            <w:r>
              <w:rPr>
                <w:rStyle w:val="font41"/>
                <w:rFonts w:hAnsi="Arial" w:hint="default"/>
                <w:color w:val="auto"/>
                <w:lang/>
              </w:rPr>
              <w:t>”</w:t>
            </w:r>
            <w:r>
              <w:rPr>
                <w:rStyle w:val="font41"/>
                <w:rFonts w:hAnsi="Arial" w:hint="default"/>
                <w:color w:val="auto"/>
                <w:lang/>
              </w:rPr>
              <w:t>项目）</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1461"/>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政府采用直接投资或资本金注入方式投资建设的非跨县（市）的地方铁路、铁路专用线、高速公路、普通国省道、农村公路、千吨级以下内河航运、独立公铁桥隧项目审批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lastRenderedPageBreak/>
              <w:t>12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洗选厂项目备案</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50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非跨县（市）煤矿项目、可再生能源发电项目申报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864"/>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外商投资项目、国外贷款项目、限额以下内资项目进口设备免税申报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利用国际金融组织贷款项目申报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创业投资企业备案</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9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国家级及省级企业技术中心和工程研究中心申报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污染治理和节能减碳中央预算内投资项目申报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18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企业投资的非跨县（市）的普通省道网项目（按照规划）、独立公铁桥隧项目、除跨省（区、市）高等级航道的千吨级及以上航电枢纽，集装箱专用码头项目，煤炭、矿石、油气专用泊位项目之外的内河航运项目核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112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41"/>
                <w:rFonts w:hAnsi="Arial" w:hint="default"/>
                <w:color w:val="auto"/>
                <w:lang/>
              </w:rPr>
              <w:t>《外商投资产业指导目录》中有中方控股（含相对控股）要求的总投资（含增资）小于</w:t>
            </w:r>
            <w:r>
              <w:rPr>
                <w:rStyle w:val="font51"/>
                <w:rFonts w:eastAsia="仿宋_GB2312"/>
                <w:color w:val="auto"/>
                <w:lang/>
              </w:rPr>
              <w:t>3</w:t>
            </w:r>
            <w:r>
              <w:rPr>
                <w:rStyle w:val="font41"/>
                <w:rFonts w:hAnsi="Arial" w:hint="default"/>
                <w:color w:val="auto"/>
                <w:lang/>
              </w:rPr>
              <w:t>亿美元的限制类项目核准的申报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国家发展改革委重点流域水环境综合治理专项中央预算内投资项目申报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812"/>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41"/>
                <w:rFonts w:hAnsi="Arial" w:hint="default"/>
                <w:color w:val="auto"/>
                <w:lang/>
              </w:rPr>
              <w:t>除在跨省（区、市）河流上建设的单站总装机容量</w:t>
            </w:r>
            <w:r>
              <w:rPr>
                <w:rStyle w:val="font51"/>
                <w:rFonts w:eastAsia="仿宋_GB2312"/>
                <w:color w:val="auto"/>
                <w:lang/>
              </w:rPr>
              <w:t>50</w:t>
            </w:r>
            <w:r>
              <w:rPr>
                <w:rStyle w:val="font41"/>
                <w:rFonts w:hAnsi="Arial" w:hint="default"/>
                <w:color w:val="auto"/>
                <w:lang/>
              </w:rPr>
              <w:t>万千瓦及以上项目之外的水电站项目核准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非跨县（市）域水资源配置调整项目外的水利工程项目核准（市级权限内）</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集中并网风电项目核准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农林生物质热电项目核准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燃气热电、背压式燃煤热电项目核准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城镇集中供热价格（政府定价项目）</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污水处理费标准（政府定价项目）</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高中学费收费标准（政府定价项目）</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lastRenderedPageBreak/>
              <w:t>30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国家发展改革委黄河流域生态保护和高质量发展专项中央预算内投资项目申报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43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31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省级核准的企业固定资产投资项目申请报告转送</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32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地方企业债券发行申报（仅限用于固定资产投资项目的）</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45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33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基础产业项目中央预算内投资申报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45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34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41"/>
                <w:rFonts w:hAnsi="Arial" w:hint="default"/>
                <w:color w:val="auto"/>
                <w:lang/>
              </w:rPr>
              <w:t>高中招生计划</w:t>
            </w:r>
            <w:r>
              <w:rPr>
                <w:rStyle w:val="font21"/>
                <w:rFonts w:hAnsi="Arial" w:hint="default"/>
                <w:color w:val="auto"/>
                <w:lang/>
              </w:rPr>
              <w:t>编制</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县教育局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35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省级骨干教师、优秀教师、特级教师、学术技术带头人审核推荐</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县教育局</w:t>
            </w:r>
          </w:p>
        </w:tc>
      </w:tr>
      <w:tr w:rsidR="00663395">
        <w:trPr>
          <w:trHeight w:val="48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36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教育科学规划课题、教研优秀成果申报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县教育局</w:t>
            </w:r>
          </w:p>
        </w:tc>
      </w:tr>
      <w:tr w:rsidR="00663395">
        <w:trPr>
          <w:trHeight w:val="47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37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特教项目、职教项目经费申报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县教育局</w:t>
            </w:r>
          </w:p>
        </w:tc>
      </w:tr>
      <w:tr w:rsidR="00663395">
        <w:trPr>
          <w:trHeight w:val="112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38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实施中等及中等以下学历教育、学前教育、自学考试助学及其他文化教育的学校设立、变更和终止审批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县教育局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39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对发展教育事业做出突出贡献的奖励</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县教育局</w:t>
            </w:r>
          </w:p>
        </w:tc>
      </w:tr>
      <w:tr w:rsidR="00663395">
        <w:trPr>
          <w:trHeight w:val="43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40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普通高中学业水平考试成绩证明</w:t>
            </w:r>
            <w:r>
              <w:rPr>
                <w:rFonts w:ascii="仿宋_GB2312" w:eastAsia="仿宋_GB2312" w:hAnsi="Arial" w:cs="仿宋_GB2312" w:hint="eastAsia"/>
                <w:kern w:val="0"/>
                <w:sz w:val="28"/>
                <w:szCs w:val="28"/>
                <w:lang/>
              </w:rPr>
              <w:t>/</w:t>
            </w:r>
            <w:r>
              <w:rPr>
                <w:rFonts w:ascii="仿宋_GB2312" w:eastAsia="仿宋_GB2312" w:hAnsi="Arial" w:cs="仿宋_GB2312" w:hint="eastAsia"/>
                <w:kern w:val="0"/>
                <w:sz w:val="28"/>
                <w:szCs w:val="28"/>
                <w:lang/>
              </w:rPr>
              <w:t>会考成绩证明</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县教育局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41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民办高中、中专办学许可证年度检查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县教育局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42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毕（结）业证书遗失办理、学历证明确认</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县教育局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43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校舍维修长效机制（原校安工程）项目经费申报、特教项目经费申报、职教项目经费申报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县教育局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44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省级科技计划项目申报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45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省高新技术企业、创新型企业等申报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46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省级科技园区认定申报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47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省科技技术奖推荐</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48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引进国外人才项目年度计划申报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49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出国（境）培训项目计划申报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50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出国（境）培训团组申报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51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河南省院士工作站建设推荐</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52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省级工程技术研究中心建设审核推荐</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lastRenderedPageBreak/>
              <w:t>53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省级产业技术创新战略联盟管理审核推荐</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54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河南省新型研发机构管理审核推荐</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55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省级重点实验室建设与管理推荐</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56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河南省国际联合实验室管理审核推荐</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57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河南省技术转移示范机构管理审核推荐</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58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省级孵化载体备案审核推荐</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59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河南省文化和科技融合示范基地认定审核推荐</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60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河南省创新龙头企业培育和管理审核推荐</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61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河南省星创天地认定审核推荐</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62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市级产业技术创新战略联盟备案</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63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企业研究开发项目鉴定</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64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市级新产品新技术新工艺研发计划项目备案</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65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省先进制造业发展专项资金项目申报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66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41"/>
                <w:rFonts w:hAnsi="Arial" w:hint="default"/>
                <w:color w:val="auto"/>
                <w:lang/>
              </w:rPr>
              <w:t>省新型工业化产业示范基地申报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67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关闭煤矿和报废矿井许可审核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68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省级工业新产品综合评价</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69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41"/>
                <w:rFonts w:hAnsi="Arial" w:hint="default"/>
                <w:color w:val="auto"/>
                <w:lang/>
              </w:rPr>
              <w:t>国家中小企业发展专项资金项目初审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70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钢铁、焦化等工业行业规范公告申报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71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41"/>
                <w:rFonts w:hAnsi="Arial" w:hint="default"/>
                <w:color w:val="auto"/>
                <w:lang/>
              </w:rPr>
              <w:t>国家及省级技术创新示范企业认定申报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72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省级智能工厂、智能车间申报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73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国家级和省级绿色工厂、绿色园区申报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74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河南省制造业创新中心申报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75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金融机构营业场所、金库安全防范设施建设方案审批和工程验收</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县公安局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76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外省（区、市）保安服务公司在本辖区提出保安服务核查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县公安局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77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影响交通安全占道施工征求意见</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县公安局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78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事故处理员资格证</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县公安局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79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稽查布控数字证书查询</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县公安局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80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撤销中国公民收养登记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县民政局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lastRenderedPageBreak/>
              <w:t>81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基层法律服务工作者年度考核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82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基层法律服务所年度考核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83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对基层法律服务工作者予以行政处罚（没收违法所得、罚款）</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7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84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对基层法律服务所予以行政处罚（没收违法所得、罚款）</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85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基层法律服务所变更、注销核准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796"/>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86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司法鉴定机构的资质管理评估和司法鉴定质量管理评估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87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对司法鉴定机构进行监督、检查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9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88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对司法鉴定机构违法违纪的执业行为进行调查处理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89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司法鉴定人诚信等级评估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90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对司法鉴定人进行监督、检查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91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对司法鉴定人违法违纪执业行为进行调查处理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80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92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律师执业许可、执业注销、变更执业机构、变更执业类别的初审工作</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93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律师事务所设立、注销的初审工作</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824"/>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94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律师事务所名称、负责人、章程、合伙协议、组织形式变更的初审工作</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95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律师事务所住所、合伙人变更备案的初审工作</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96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律师事务所分所设立、注销的初审工作</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824"/>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97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律师事务所分所名称变更、负责人变更、住所变更备案、派驻撤回分所律师的初审工作</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76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98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对律师事务所应当给予吊销执业许可证的，提出处罚建议</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99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公职律师、公司律师、法律援助律师工作证颁发的初审工作</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421"/>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100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基层法律服务工作者执业、变更、注销核准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县司法局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lastRenderedPageBreak/>
              <w:t>101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机关事业单位工勤技能岗位四级（中级工）和五级（初级工）的审批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县人社局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102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41"/>
                <w:rFonts w:hAnsi="Arial" w:hint="default"/>
                <w:color w:val="auto"/>
                <w:lang/>
              </w:rPr>
              <w:t>中级工及其以下技术工种职业技能鉴定机构备案、职业资格证书核发</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县人社局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103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博士后科研工作站设立、评估申报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县人社局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104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博士后项目启动经费资助审核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县人社局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105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博士后出站留豫、来豫工作安家经费审核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县人社局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106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技能人员职业资格管理服务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县人社局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107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技能人员职业资格证书办理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县人社局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108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机关事业单位工勤技能岗位人员考试报名</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县人社局</w:t>
            </w:r>
          </w:p>
        </w:tc>
      </w:tr>
      <w:tr w:rsidR="00663395">
        <w:trPr>
          <w:trHeight w:val="81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109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建设项目使用六公顷（不含六公顷）以下国有未利用土地审批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县自然资源局</w:t>
            </w:r>
          </w:p>
        </w:tc>
      </w:tr>
      <w:tr w:rsidR="00663395">
        <w:trPr>
          <w:trHeight w:val="1052"/>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110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一次性开发四百公顷以上（含四百公顷）六百公顷以下（不含六百公顷）的国有荒山、荒地、荒滩审查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县自然资源局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111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矿产资源储量数据统计上报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县自然资源局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112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地质环境治理项目申报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县自然资源局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113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地质灾害灾情险情信息数据速报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县自然资源局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114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土地调查工作中做出突出贡献奖励</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县自然资源局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115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农村村民住宅涉及的农转用审批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县自然资源局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116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征地地上附着物和青苗补偿费标准制定</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县自然资源局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117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生产建设项目土地复垦方案审查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县自然资源局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118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非辐射类建设项目环评审批（“两高一危”除外）</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市生态环境局</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温县分局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119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排污许可证核发（“两高一危”除外）</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市生态环境局</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温县分局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120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房地产估价机构备案初审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县住建局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121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21"/>
                <w:rFonts w:hAnsi="Arial" w:hint="default"/>
                <w:color w:val="auto"/>
                <w:lang/>
              </w:rPr>
              <w:t>建筑业企业资质审批权限（省辖市级）</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县住建局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122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燃气经营许可证核发</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县城管局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lastRenderedPageBreak/>
              <w:t>123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与气源相适配燃气燃烧器具产品目录的公布</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县城管局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124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临时占用城市绿地审批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县城管局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125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城市古树名木移植批准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县城管局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126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房地产开发企业资质核定（二级及以下）</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县住建局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127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河南省新型墙体材料认定</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县住建局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128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建立古树名木档案和标记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县城管局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129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对长期从事市容环卫作业成绩显著的单位和个人的表彰奖励</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县城管局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130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对于在城市公厕的规划、建设和管理中取得显著成绩的单位和个人的表彰和奖励</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县城管局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131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对在城市照明工作中做出突出贡献的单位和个人给予表彰或者奖励</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县住建局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132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工程监理企业资质审批（省辖市级）</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县住建局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133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国省道上中桥及以下危桥改造、县道上中桥及以下改造实施方案及施工图设计审批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134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重要农村公路项目施工图设计审批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135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经营性道路客货运输驾驶员从业资格考试、证件发放和管理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136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道路危险货物运输驾驶员从业资格考试、证件发放和管理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137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道路运输从业人员从业资格考试、证件发放和管理（不含危险货物运输）</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138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一、二级汽车客运站站级验收</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139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41"/>
                <w:rFonts w:hAnsi="Arial" w:hint="default"/>
                <w:color w:val="auto"/>
                <w:lang/>
              </w:rPr>
              <w:t>道路运输企业质量信誉考核中初评为</w:t>
            </w:r>
            <w:r>
              <w:rPr>
                <w:rStyle w:val="font51"/>
                <w:rFonts w:eastAsia="仿宋_GB2312"/>
                <w:color w:val="auto"/>
                <w:lang/>
              </w:rPr>
              <w:t>AAA</w:t>
            </w:r>
            <w:r>
              <w:rPr>
                <w:rStyle w:val="font41"/>
                <w:rFonts w:hAnsi="Arial" w:hint="default"/>
                <w:color w:val="auto"/>
                <w:lang/>
              </w:rPr>
              <w:t>级运输企业的核定</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140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市域内水路运输审批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528"/>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141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水路运输企业设立及经营跨省辖市水路运输审批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142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水运工程专业丙级监理资质许可</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143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辖区内封闭水域内河船员适任考试发证</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lastRenderedPageBreak/>
              <w:t>144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普通干线公路改造、大修、危桥改造计划的编制与申报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145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农村公路、危桥改造计划的编制与申报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146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水运建设项目计划的编制与申报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147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客货运场站建设项目计划的编制与申报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148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普通干线公路新改建项目工可报告、设计文件的编制与申报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149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普通干线公路大修、中修及大桥、特大桥危桥改造项目实施方案的编制与申报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150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客货运场站建设项目申请报告、设计文件的编制与申报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151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农村公路危桥（大桥及以上）改造项目实施方案的编制与申报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152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普通干线公路中修计划的编制与申报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153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普通干线公路大修、大桥危桥改造项目设计文件的编制与申报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112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154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因修建铁路、机场、供电、水利、通信等建设工程需要占用、挖掘公路用地许可（高速公路、国省干线公路除外）</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155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在公路用地范围内架设、埋设管道、电缆等设施许可（高速公路、国省干线公路除外）</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156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在公路上增设或者改造平面交叉道口施工许可（高速公路、国省干线公路除外）</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157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在公路建筑控制区内埋设管道、电缆等设施许可（高速公路、国省干线公路除外）</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158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在公路用地范围内设置非公路标志（高速公路、国省干线公路除外）</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102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159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在公路周边一定范围内因抢险、防汛需要修筑堤坝、压缩或者拓宽河床行为的受理与申报（高速公路、国省干线公路除外）</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160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省际道路旅客运输经营许可的受理与审批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lastRenderedPageBreak/>
              <w:t>161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市际道路旅客运输经营许可的受理与审批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37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162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航道养护计划的编制与申报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16"/>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163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水运建设项目工可报告、设计文件的编制与申报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261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164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21"/>
                <w:rFonts w:hAnsi="Arial" w:hint="default"/>
                <w:color w:val="auto"/>
                <w:lang/>
              </w:rPr>
              <w:t>除</w:t>
            </w:r>
            <w:r>
              <w:rPr>
                <w:rStyle w:val="font21"/>
                <w:rFonts w:hAnsi="Arial" w:hint="default"/>
                <w:color w:val="auto"/>
                <w:lang/>
              </w:rPr>
              <w:t>“</w:t>
            </w:r>
            <w:r>
              <w:rPr>
                <w:rStyle w:val="font21"/>
                <w:rFonts w:hAnsi="Arial" w:hint="default"/>
                <w:color w:val="auto"/>
                <w:lang/>
              </w:rPr>
              <w:t>跨省辖市的普通干线公路建设项目；使用中央预算内投资、中央专项建设基金、中央统还国外贷款</w:t>
            </w:r>
            <w:r>
              <w:rPr>
                <w:rStyle w:val="font31"/>
                <w:rFonts w:eastAsia="仿宋_GB2312"/>
                <w:color w:val="auto"/>
                <w:lang/>
              </w:rPr>
              <w:t>5</w:t>
            </w:r>
            <w:r>
              <w:rPr>
                <w:rStyle w:val="font21"/>
                <w:rFonts w:hAnsi="Arial" w:hint="default"/>
                <w:color w:val="auto"/>
                <w:lang/>
              </w:rPr>
              <w:t>亿元及以上，或使用中央预算内投资、中央专项建设基金、统借自还国外贷款的总投资</w:t>
            </w:r>
            <w:r>
              <w:rPr>
                <w:rStyle w:val="font31"/>
                <w:rFonts w:eastAsia="仿宋_GB2312"/>
                <w:color w:val="auto"/>
                <w:lang/>
              </w:rPr>
              <w:t>50</w:t>
            </w:r>
            <w:r>
              <w:rPr>
                <w:rStyle w:val="font21"/>
                <w:rFonts w:hAnsi="Arial" w:hint="default"/>
                <w:color w:val="auto"/>
                <w:lang/>
              </w:rPr>
              <w:t>亿元及以上的普通干线公路项目；普通干线公路跨黄河大桥建设项目</w:t>
            </w:r>
            <w:r>
              <w:rPr>
                <w:rStyle w:val="font21"/>
                <w:rFonts w:hAnsi="Arial" w:hint="default"/>
                <w:color w:val="auto"/>
                <w:lang/>
              </w:rPr>
              <w:t>”</w:t>
            </w:r>
            <w:r>
              <w:rPr>
                <w:rStyle w:val="font21"/>
                <w:rFonts w:hAnsi="Arial" w:hint="default"/>
                <w:color w:val="auto"/>
                <w:lang/>
              </w:rPr>
              <w:t>外的普通干线公路项目设计审批；非跨省辖市的内河水运项目设计审批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32"/>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165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专用航标的设置、撤除、位移和其他状况改变审批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166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港口内进行危险货物的装卸、过驳作业许可</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167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营运车辆道路运输证配发</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168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新增客船、危险品船投入运营审批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169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船员适任证书核发</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170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船舶国籍证书核发</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171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通航建筑物运行方案审批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172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经营国内船舶管理业务审批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173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危险货物道路运输从业人员资格许可</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174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船舶最低安全配员证书核发</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175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出租汽车驾驶员从业资格注册</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176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船舶登记（含所有权、变更、抵押权、注销、光船租赁、废钢船）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177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船舶名称核准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178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船员培训合格证书签发</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179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航行通（警）告办理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180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道路旅客运输驾驶员资格证核发</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lastRenderedPageBreak/>
              <w:t>181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船舶营运证配发</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182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船舶吨位复核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183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航道养护工程的设计审查、交（竣）工验收</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528"/>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184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船舶设计图纸审核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574"/>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185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高速客船操作安全证书核发</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543"/>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186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道路普通货物运输驾驶员资格证核发</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县交通运输局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187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洪水影响评价审批（河道管理范围建设项目工程建设方案审批）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县水利局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188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大中型水利水电工程建设征地移民后期扶持规划审批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县水利局</w:t>
            </w:r>
          </w:p>
        </w:tc>
      </w:tr>
      <w:tr w:rsidR="00663395">
        <w:trPr>
          <w:trHeight w:val="516"/>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189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蜂、蚕种生产、经营许可证核发</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县农业农村局</w:t>
            </w:r>
          </w:p>
        </w:tc>
      </w:tr>
      <w:tr w:rsidR="00663395">
        <w:trPr>
          <w:trHeight w:val="471"/>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190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权限内肥料登记初审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县农业农村局</w:t>
            </w:r>
          </w:p>
        </w:tc>
      </w:tr>
      <w:tr w:rsidR="00663395">
        <w:trPr>
          <w:trHeight w:val="494"/>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191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二手车交易市场及经营主体备案</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县商务局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192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河南省文化产业示范园区、示范基地申报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193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省级非遗名录与非遗传承人申报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194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国家级非遗名录与非遗传承人申报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195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对外、对港澳台文化旅游交流项目（含引进和派出）申报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812"/>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196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41"/>
                <w:rFonts w:hAnsi="Arial" w:hint="default"/>
                <w:color w:val="auto"/>
                <w:lang/>
              </w:rPr>
              <w:t>设立旅行社的初审和申报；旅行社分社及营业网点的备案；</w:t>
            </w:r>
            <w:r>
              <w:rPr>
                <w:rStyle w:val="font51"/>
                <w:rFonts w:eastAsia="仿宋_GB2312"/>
                <w:color w:val="auto"/>
                <w:lang/>
              </w:rPr>
              <w:t>3A</w:t>
            </w:r>
            <w:r>
              <w:rPr>
                <w:rStyle w:val="font41"/>
                <w:rFonts w:hAnsi="Arial" w:hint="default"/>
                <w:color w:val="auto"/>
                <w:lang/>
              </w:rPr>
              <w:t>级以下（含</w:t>
            </w:r>
            <w:r>
              <w:rPr>
                <w:rStyle w:val="font51"/>
                <w:rFonts w:eastAsia="仿宋_GB2312"/>
                <w:color w:val="auto"/>
                <w:lang/>
              </w:rPr>
              <w:t>3A</w:t>
            </w:r>
            <w:r>
              <w:rPr>
                <w:rStyle w:val="font41"/>
                <w:rFonts w:hAnsi="Arial" w:hint="default"/>
                <w:color w:val="auto"/>
                <w:lang/>
              </w:rPr>
              <w:t>级）旅行社的评定</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197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Times New Roman" w:hAnsi="Times New Roman" w:cs="Times New Roman"/>
                <w:sz w:val="28"/>
                <w:szCs w:val="28"/>
              </w:rPr>
            </w:pPr>
            <w:r>
              <w:rPr>
                <w:rStyle w:val="font51"/>
                <w:rFonts w:eastAsia="宋体"/>
                <w:color w:val="auto"/>
                <w:lang/>
              </w:rPr>
              <w:t>3A</w:t>
            </w:r>
            <w:r>
              <w:rPr>
                <w:rStyle w:val="font41"/>
                <w:rFonts w:hAnsi="Times New Roman" w:hint="default"/>
                <w:color w:val="auto"/>
                <w:lang/>
              </w:rPr>
              <w:t>级以下（含</w:t>
            </w:r>
            <w:r>
              <w:rPr>
                <w:rStyle w:val="font51"/>
                <w:rFonts w:eastAsia="宋体"/>
                <w:color w:val="auto"/>
                <w:lang/>
              </w:rPr>
              <w:t>3A</w:t>
            </w:r>
            <w:r>
              <w:rPr>
                <w:rStyle w:val="font41"/>
                <w:rFonts w:hAnsi="Times New Roman" w:hint="default"/>
                <w:color w:val="auto"/>
                <w:lang/>
              </w:rPr>
              <w:t>级）旅游景区评定</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878"/>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198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三星级以下（含三星级）旅游宾馆、旅游餐馆、农家宾馆、乡村旅游单位的星级评定</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lastRenderedPageBreak/>
              <w:t>199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银叶级绿色旅游饭店的评定、复核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200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旅行社统计调查、饭店统计调查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201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旅行社从业质量保证金管理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202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Times New Roman" w:hAnsi="Times New Roman" w:cs="Times New Roman"/>
                <w:sz w:val="28"/>
                <w:szCs w:val="28"/>
              </w:rPr>
            </w:pPr>
            <w:r>
              <w:rPr>
                <w:rStyle w:val="font51"/>
                <w:rFonts w:eastAsia="宋体"/>
                <w:color w:val="auto"/>
                <w:lang/>
              </w:rPr>
              <w:t>4A</w:t>
            </w:r>
            <w:r>
              <w:rPr>
                <w:rStyle w:val="font41"/>
                <w:rFonts w:hAnsi="Times New Roman" w:hint="default"/>
                <w:color w:val="auto"/>
                <w:lang/>
              </w:rPr>
              <w:t>级以上（含</w:t>
            </w:r>
            <w:r>
              <w:rPr>
                <w:rStyle w:val="font51"/>
                <w:rFonts w:eastAsia="宋体"/>
                <w:color w:val="auto"/>
                <w:lang/>
              </w:rPr>
              <w:t>4A</w:t>
            </w:r>
            <w:r>
              <w:rPr>
                <w:rStyle w:val="font41"/>
                <w:rFonts w:hAnsi="Times New Roman" w:hint="default"/>
                <w:color w:val="auto"/>
                <w:lang/>
              </w:rPr>
              <w:t>级）旅行社初审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203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Times New Roman" w:hAnsi="Times New Roman" w:cs="Times New Roman"/>
                <w:sz w:val="28"/>
                <w:szCs w:val="28"/>
              </w:rPr>
            </w:pPr>
            <w:r>
              <w:rPr>
                <w:rStyle w:val="font51"/>
                <w:rFonts w:eastAsia="宋体"/>
                <w:color w:val="auto"/>
                <w:lang/>
              </w:rPr>
              <w:t>4A</w:t>
            </w:r>
            <w:r>
              <w:rPr>
                <w:rStyle w:val="font41"/>
                <w:rFonts w:hAnsi="Times New Roman" w:hint="default"/>
                <w:color w:val="auto"/>
                <w:lang/>
              </w:rPr>
              <w:t>级以上（含</w:t>
            </w:r>
            <w:r>
              <w:rPr>
                <w:rStyle w:val="font51"/>
                <w:rFonts w:eastAsia="宋体"/>
                <w:color w:val="auto"/>
                <w:lang/>
              </w:rPr>
              <w:t>4A</w:t>
            </w:r>
            <w:r>
              <w:rPr>
                <w:rStyle w:val="font41"/>
                <w:rFonts w:hAnsi="Times New Roman" w:hint="default"/>
                <w:color w:val="auto"/>
                <w:lang/>
              </w:rPr>
              <w:t>级）旅游景区初审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91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204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四星级以上（含四星级）旅游宾馆、旅游餐馆、乡村旅游经营单位初审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205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金叶级绿色旅游饭店初审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206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导游人员从业资格初审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207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导游证、领队人员资格审核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208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二级医疗机构执业登记及校验</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县卫健委</w:t>
            </w:r>
          </w:p>
        </w:tc>
      </w:tr>
      <w:tr w:rsidR="00663395">
        <w:trPr>
          <w:trHeight w:val="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209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二级医疗机构医师、护士注册</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县卫健委</w:t>
            </w:r>
          </w:p>
        </w:tc>
      </w:tr>
      <w:tr w:rsidR="00663395">
        <w:trPr>
          <w:trHeight w:val="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210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二级医疗机构医疗广告审查（不含中医）</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县卫健委</w:t>
            </w:r>
          </w:p>
        </w:tc>
      </w:tr>
      <w:tr w:rsidR="00663395">
        <w:trPr>
          <w:trHeight w:val="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211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麻醉药品和第一类精神药品购用许可</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县卫健委</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212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麻醉药品和第一类精神药品购用印鉴卡遗失或损毁补办</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县卫健委</w:t>
            </w:r>
          </w:p>
        </w:tc>
      </w:tr>
      <w:tr w:rsidR="00663395">
        <w:trPr>
          <w:trHeight w:val="62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213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股份有限公司的登记管辖</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55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214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棉花及纤维纺织产品监督管理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56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215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对企业申报政府质量奖（省长质量奖）受理和初审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112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lastRenderedPageBreak/>
              <w:t>216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41"/>
                <w:rFonts w:hAnsi="Arial" w:hint="default"/>
                <w:color w:val="auto"/>
                <w:lang/>
              </w:rPr>
              <w:t>食品生产许可审批（</w:t>
            </w:r>
            <w:r>
              <w:rPr>
                <w:rStyle w:val="font21"/>
                <w:rFonts w:hAnsi="Arial" w:hint="default"/>
                <w:color w:val="auto"/>
                <w:lang/>
              </w:rPr>
              <w:t>粮食加工品、调味品、饼干、蔬菜制品、食糖、糕点、豆制品和食用油、油脂以及制品</w:t>
            </w:r>
            <w:r>
              <w:rPr>
                <w:rStyle w:val="font41"/>
                <w:rFonts w:hAnsi="Arial" w:hint="default"/>
                <w:color w:val="auto"/>
                <w:lang/>
              </w:rPr>
              <w:t>）</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61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217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特种设备安全管理人员资格认定</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58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218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特种设备安装、改造、修理书面告知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58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219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特种设备使用登记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54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220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获得工业产品生产许可证企业年度自查报告审查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51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221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专项计量授权新建、复查、扩项、变更申请</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222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小功率的无线广播电视发射设备订购证明核发</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223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有线广播电视传输覆盖网工程建设及验收审核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224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区域性有线广播电视传输覆盖网总体规划、建设方案审核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225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二、三级社会体育指导员技术等级称号审批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226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一级社会体育指导员技术等级称号的审核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227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省级体育传统学校、青少年体育俱乐部的审核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228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省级资助全民健身工程及公共体育设施“以奖代补”项目的申报</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93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229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对全国体育事业及在发展全民健身事业中做出突出贡献的组织和个人，按照国家有关规定给予奖励</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230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医保门诊重症慢性病鉴定</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县医保局</w:t>
            </w:r>
          </w:p>
        </w:tc>
      </w:tr>
      <w:tr w:rsidR="00663395">
        <w:trPr>
          <w:trHeight w:val="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231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人防工程改造审批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县人防办</w:t>
            </w:r>
          </w:p>
        </w:tc>
      </w:tr>
      <w:tr w:rsidR="00663395">
        <w:trPr>
          <w:trHeight w:val="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232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单独修建的人民防空工程报建审批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县人防办</w:t>
            </w:r>
          </w:p>
        </w:tc>
      </w:tr>
      <w:tr w:rsidR="00663395">
        <w:trPr>
          <w:trHeight w:val="56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lastRenderedPageBreak/>
              <w:t>233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单独修建的人民防空工程竣工验收备案</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县人防办</w:t>
            </w:r>
          </w:p>
        </w:tc>
      </w:tr>
      <w:tr w:rsidR="00663395">
        <w:trPr>
          <w:trHeight w:val="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234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国有林木采伐许可</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县自然资源局</w:t>
            </w:r>
          </w:p>
        </w:tc>
      </w:tr>
      <w:tr w:rsidR="00663395">
        <w:trPr>
          <w:trHeight w:val="50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235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林地征占用初审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县自然资源局</w:t>
            </w:r>
          </w:p>
        </w:tc>
      </w:tr>
      <w:tr w:rsidR="00663395">
        <w:trPr>
          <w:trHeight w:val="1368"/>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236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41"/>
                <w:rFonts w:hAnsi="Arial" w:hint="default"/>
                <w:color w:val="auto"/>
                <w:lang/>
              </w:rPr>
              <w:t>临时占用除国有森林经营单位林地以外的防护林或者特种用途林林地面积</w:t>
            </w:r>
            <w:r>
              <w:rPr>
                <w:rStyle w:val="font51"/>
                <w:rFonts w:eastAsia="仿宋_GB2312"/>
                <w:color w:val="auto"/>
                <w:lang/>
              </w:rPr>
              <w:t>5</w:t>
            </w:r>
            <w:r>
              <w:rPr>
                <w:rStyle w:val="font41"/>
                <w:rFonts w:hAnsi="Arial" w:hint="default"/>
                <w:color w:val="auto"/>
                <w:lang/>
              </w:rPr>
              <w:t>公顷以下（不含</w:t>
            </w:r>
            <w:r>
              <w:rPr>
                <w:rStyle w:val="font51"/>
                <w:rFonts w:eastAsia="仿宋_GB2312"/>
                <w:color w:val="auto"/>
                <w:lang/>
              </w:rPr>
              <w:t>5</w:t>
            </w:r>
            <w:r>
              <w:rPr>
                <w:rStyle w:val="font41"/>
                <w:rFonts w:hAnsi="Arial" w:hint="default"/>
                <w:color w:val="auto"/>
                <w:lang/>
              </w:rPr>
              <w:t>公顷），其他林地面积</w:t>
            </w:r>
            <w:r>
              <w:rPr>
                <w:rStyle w:val="font51"/>
                <w:rFonts w:eastAsia="仿宋_GB2312"/>
                <w:color w:val="auto"/>
                <w:lang/>
              </w:rPr>
              <w:t>10</w:t>
            </w:r>
            <w:r>
              <w:rPr>
                <w:rStyle w:val="font41"/>
                <w:rFonts w:hAnsi="Arial" w:hint="default"/>
                <w:color w:val="auto"/>
                <w:lang/>
              </w:rPr>
              <w:t>公顷以下（不含</w:t>
            </w:r>
            <w:r>
              <w:rPr>
                <w:rStyle w:val="font51"/>
                <w:rFonts w:eastAsia="仿宋_GB2312"/>
                <w:color w:val="auto"/>
                <w:lang/>
              </w:rPr>
              <w:t>10</w:t>
            </w:r>
            <w:r>
              <w:rPr>
                <w:rStyle w:val="font41"/>
                <w:rFonts w:hAnsi="Arial" w:hint="default"/>
                <w:color w:val="auto"/>
                <w:lang/>
              </w:rPr>
              <w:t>公顷）审批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县自然资源局</w:t>
            </w:r>
          </w:p>
        </w:tc>
      </w:tr>
      <w:tr w:rsidR="00663395">
        <w:trPr>
          <w:trHeight w:val="130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237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Style w:val="font21"/>
                <w:rFonts w:hAnsi="Arial" w:hint="default"/>
                <w:color w:val="auto"/>
                <w:lang/>
              </w:rPr>
              <w:t>临时占用除国有森林经营单位林地以外的防护林或者特种用途林林地面积</w:t>
            </w:r>
            <w:r>
              <w:rPr>
                <w:rStyle w:val="font31"/>
                <w:rFonts w:eastAsia="仿宋_GB2312"/>
                <w:color w:val="auto"/>
                <w:lang/>
              </w:rPr>
              <w:t>5</w:t>
            </w:r>
            <w:r>
              <w:rPr>
                <w:rStyle w:val="font21"/>
                <w:rFonts w:hAnsi="Arial" w:hint="default"/>
                <w:color w:val="auto"/>
                <w:lang/>
              </w:rPr>
              <w:t>公顷以上（含</w:t>
            </w:r>
            <w:r>
              <w:rPr>
                <w:rStyle w:val="font31"/>
                <w:rFonts w:eastAsia="仿宋_GB2312"/>
                <w:color w:val="auto"/>
                <w:lang/>
              </w:rPr>
              <w:t>5</w:t>
            </w:r>
            <w:r>
              <w:rPr>
                <w:rStyle w:val="font21"/>
                <w:rFonts w:hAnsi="Arial" w:hint="default"/>
                <w:color w:val="auto"/>
                <w:lang/>
              </w:rPr>
              <w:t>公顷），其他林地面积</w:t>
            </w:r>
            <w:r>
              <w:rPr>
                <w:rStyle w:val="font31"/>
                <w:rFonts w:eastAsia="仿宋_GB2312"/>
                <w:color w:val="auto"/>
                <w:lang/>
              </w:rPr>
              <w:t>10</w:t>
            </w:r>
            <w:r>
              <w:rPr>
                <w:rStyle w:val="font21"/>
                <w:rFonts w:hAnsi="Arial" w:hint="default"/>
                <w:color w:val="auto"/>
                <w:lang/>
              </w:rPr>
              <w:t>公顷以上（含</w:t>
            </w:r>
            <w:r>
              <w:rPr>
                <w:rStyle w:val="font31"/>
                <w:rFonts w:eastAsia="仿宋_GB2312"/>
                <w:color w:val="auto"/>
                <w:lang/>
              </w:rPr>
              <w:t>10</w:t>
            </w:r>
            <w:r>
              <w:rPr>
                <w:rStyle w:val="font21"/>
                <w:rFonts w:hAnsi="Arial" w:hint="default"/>
                <w:color w:val="auto"/>
                <w:lang/>
              </w:rPr>
              <w:t>公顷）初审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县自然资源局</w:t>
            </w:r>
          </w:p>
        </w:tc>
      </w:tr>
      <w:tr w:rsidR="00663395">
        <w:trPr>
          <w:trHeight w:val="851"/>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238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国有森林经营单位在所经营的林地范围内修筑直接为林业生产服务的工程设施初审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县自然资源局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239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市级及以上文物保护单位修缮初审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837"/>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240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文物保护单位保护范围内其他建设工程或者爆破、钻探、挖掘等作业初审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823"/>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241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市级及以上文物保护单位建设控制地带内建设工程设计方案初审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877"/>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242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核定为文物保护单位的属于国家所有的纪念建筑物或者古建筑改变用途审批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243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馆藏文物修复、复制、拓印单位资质初审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244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馆藏珍贵文物（不包括一级文物）修复、复制、拓印初审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245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博物馆二级以下藏品取样分析初审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80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246</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国有文物收藏单位之间借用馆藏一般文物的借用备案（不含珍贵文物借用备案）</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lastRenderedPageBreak/>
              <w:t>247</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文物出国（境）展览初审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248</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文物拍卖标的初审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249</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文物商店设立初审</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250</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二类精神药品经营（零售）审批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251</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乙类非处方药零售企业配备业务人员考核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252</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药品零售企业许可</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253</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科研和教学用毒性药品购买审批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254</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麻醉药品和第一类精神药品运输证明核发</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46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Times New Roman" w:hAnsi="Times New Roman" w:cs="Times New Roman"/>
                <w:sz w:val="28"/>
                <w:szCs w:val="28"/>
              </w:rPr>
            </w:pPr>
            <w:r>
              <w:rPr>
                <w:rFonts w:ascii="Times New Roman" w:eastAsia="宋体" w:hAnsi="Times New Roman" w:cs="Times New Roman"/>
                <w:kern w:val="0"/>
                <w:sz w:val="28"/>
                <w:szCs w:val="28"/>
                <w:lang/>
              </w:rPr>
              <w:t>255</w:t>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麻醉药品和精神药品邮寄证明核发</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395" w:rsidRDefault="00E722BA">
            <w:pPr>
              <w:overflowPunct w:val="0"/>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bl>
    <w:p w:rsidR="00663395" w:rsidRDefault="00663395">
      <w:pPr>
        <w:pStyle w:val="a5"/>
        <w:widowControl w:val="0"/>
        <w:shd w:val="clear" w:color="auto" w:fill="FFFFFF"/>
        <w:overflowPunct w:val="0"/>
        <w:spacing w:before="0" w:beforeAutospacing="0" w:after="0" w:afterAutospacing="0" w:line="576" w:lineRule="exact"/>
        <w:jc w:val="both"/>
        <w:textAlignment w:val="top"/>
        <w:rPr>
          <w:rFonts w:ascii="黑体" w:eastAsia="黑体" w:hAnsi="黑体" w:cs="黑体"/>
          <w:sz w:val="32"/>
          <w:szCs w:val="32"/>
          <w:shd w:val="clear" w:color="auto" w:fill="FFFFFF"/>
        </w:rPr>
      </w:pPr>
    </w:p>
    <w:p w:rsidR="00663395" w:rsidRDefault="00663395">
      <w:pPr>
        <w:pStyle w:val="a5"/>
        <w:widowControl w:val="0"/>
        <w:shd w:val="clear" w:color="auto" w:fill="FFFFFF"/>
        <w:overflowPunct w:val="0"/>
        <w:spacing w:before="0" w:beforeAutospacing="0" w:after="0" w:afterAutospacing="0" w:line="576" w:lineRule="exact"/>
        <w:jc w:val="both"/>
        <w:textAlignment w:val="top"/>
        <w:rPr>
          <w:rFonts w:ascii="黑体" w:eastAsia="黑体" w:hAnsi="黑体" w:cs="黑体"/>
          <w:sz w:val="32"/>
          <w:szCs w:val="32"/>
          <w:shd w:val="clear" w:color="auto" w:fill="FFFFFF"/>
        </w:rPr>
      </w:pPr>
    </w:p>
    <w:p w:rsidR="00663395" w:rsidRDefault="00663395">
      <w:pPr>
        <w:pStyle w:val="a5"/>
        <w:widowControl w:val="0"/>
        <w:shd w:val="clear" w:color="auto" w:fill="FFFFFF"/>
        <w:overflowPunct w:val="0"/>
        <w:spacing w:before="0" w:beforeAutospacing="0" w:after="0" w:afterAutospacing="0" w:line="576" w:lineRule="exact"/>
        <w:jc w:val="both"/>
        <w:textAlignment w:val="top"/>
        <w:rPr>
          <w:rFonts w:ascii="黑体" w:eastAsia="黑体" w:hAnsi="黑体" w:cs="黑体"/>
          <w:sz w:val="32"/>
          <w:szCs w:val="32"/>
          <w:shd w:val="clear" w:color="auto" w:fill="FFFFFF"/>
        </w:rPr>
      </w:pPr>
    </w:p>
    <w:p w:rsidR="00663395" w:rsidRDefault="00663395">
      <w:pPr>
        <w:pStyle w:val="a5"/>
        <w:widowControl w:val="0"/>
        <w:shd w:val="clear" w:color="auto" w:fill="FFFFFF"/>
        <w:overflowPunct w:val="0"/>
        <w:spacing w:before="0" w:beforeAutospacing="0" w:after="0" w:afterAutospacing="0" w:line="576" w:lineRule="exact"/>
        <w:jc w:val="both"/>
        <w:textAlignment w:val="top"/>
        <w:rPr>
          <w:rFonts w:ascii="黑体" w:eastAsia="黑体" w:hAnsi="黑体" w:cs="黑体"/>
          <w:sz w:val="32"/>
          <w:szCs w:val="32"/>
          <w:shd w:val="clear" w:color="auto" w:fill="FFFFFF"/>
        </w:rPr>
      </w:pPr>
    </w:p>
    <w:p w:rsidR="00663395" w:rsidRDefault="00663395">
      <w:pPr>
        <w:pStyle w:val="a5"/>
        <w:widowControl w:val="0"/>
        <w:shd w:val="clear" w:color="auto" w:fill="FFFFFF"/>
        <w:overflowPunct w:val="0"/>
        <w:spacing w:before="0" w:beforeAutospacing="0" w:after="0" w:afterAutospacing="0" w:line="576" w:lineRule="exact"/>
        <w:jc w:val="both"/>
        <w:textAlignment w:val="top"/>
        <w:rPr>
          <w:rFonts w:ascii="黑体" w:eastAsia="黑体" w:hAnsi="黑体" w:cs="黑体"/>
          <w:sz w:val="32"/>
          <w:szCs w:val="32"/>
          <w:shd w:val="clear" w:color="auto" w:fill="FFFFFF"/>
        </w:rPr>
      </w:pPr>
    </w:p>
    <w:p w:rsidR="00663395" w:rsidRDefault="00663395">
      <w:pPr>
        <w:pStyle w:val="a5"/>
        <w:widowControl w:val="0"/>
        <w:shd w:val="clear" w:color="auto" w:fill="FFFFFF"/>
        <w:overflowPunct w:val="0"/>
        <w:spacing w:before="0" w:beforeAutospacing="0" w:after="0" w:afterAutospacing="0" w:line="576" w:lineRule="exact"/>
        <w:jc w:val="both"/>
        <w:textAlignment w:val="top"/>
        <w:rPr>
          <w:rFonts w:ascii="黑体" w:eastAsia="黑体" w:hAnsi="黑体" w:cs="黑体"/>
          <w:sz w:val="32"/>
          <w:szCs w:val="32"/>
          <w:shd w:val="clear" w:color="auto" w:fill="FFFFFF"/>
        </w:rPr>
      </w:pPr>
    </w:p>
    <w:p w:rsidR="00663395" w:rsidRDefault="00663395">
      <w:pPr>
        <w:pStyle w:val="a5"/>
        <w:widowControl w:val="0"/>
        <w:shd w:val="clear" w:color="auto" w:fill="FFFFFF"/>
        <w:overflowPunct w:val="0"/>
        <w:spacing w:before="0" w:beforeAutospacing="0" w:after="0" w:afterAutospacing="0" w:line="576" w:lineRule="exact"/>
        <w:jc w:val="both"/>
        <w:textAlignment w:val="top"/>
        <w:rPr>
          <w:rFonts w:ascii="黑体" w:eastAsia="黑体" w:hAnsi="黑体" w:cs="黑体"/>
          <w:sz w:val="32"/>
          <w:szCs w:val="32"/>
          <w:shd w:val="clear" w:color="auto" w:fill="FFFFFF"/>
        </w:rPr>
      </w:pPr>
    </w:p>
    <w:p w:rsidR="00663395" w:rsidRDefault="00663395">
      <w:pPr>
        <w:pStyle w:val="a5"/>
        <w:widowControl w:val="0"/>
        <w:shd w:val="clear" w:color="auto" w:fill="FFFFFF"/>
        <w:overflowPunct w:val="0"/>
        <w:spacing w:before="0" w:beforeAutospacing="0" w:after="0" w:afterAutospacing="0" w:line="576" w:lineRule="exact"/>
        <w:jc w:val="both"/>
        <w:textAlignment w:val="top"/>
        <w:rPr>
          <w:rFonts w:ascii="黑体" w:eastAsia="黑体" w:hAnsi="黑体" w:cs="黑体"/>
          <w:sz w:val="32"/>
          <w:szCs w:val="32"/>
          <w:shd w:val="clear" w:color="auto" w:fill="FFFFFF"/>
        </w:rPr>
      </w:pPr>
    </w:p>
    <w:p w:rsidR="00663395" w:rsidRDefault="00663395">
      <w:pPr>
        <w:pStyle w:val="a5"/>
        <w:widowControl w:val="0"/>
        <w:shd w:val="clear" w:color="auto" w:fill="FFFFFF"/>
        <w:overflowPunct w:val="0"/>
        <w:spacing w:before="0" w:beforeAutospacing="0" w:after="0" w:afterAutospacing="0" w:line="576" w:lineRule="exact"/>
        <w:jc w:val="both"/>
        <w:textAlignment w:val="top"/>
        <w:rPr>
          <w:rFonts w:ascii="黑体" w:eastAsia="黑体" w:hAnsi="黑体" w:cs="黑体"/>
          <w:sz w:val="32"/>
          <w:szCs w:val="32"/>
          <w:shd w:val="clear" w:color="auto" w:fill="FFFFFF"/>
        </w:rPr>
      </w:pPr>
    </w:p>
    <w:p w:rsidR="00663395" w:rsidRDefault="00663395">
      <w:pPr>
        <w:pStyle w:val="a5"/>
        <w:widowControl w:val="0"/>
        <w:shd w:val="clear" w:color="auto" w:fill="FFFFFF"/>
        <w:overflowPunct w:val="0"/>
        <w:spacing w:before="0" w:beforeAutospacing="0" w:after="0" w:afterAutospacing="0" w:line="576" w:lineRule="exact"/>
        <w:jc w:val="both"/>
        <w:textAlignment w:val="top"/>
        <w:rPr>
          <w:rFonts w:ascii="黑体" w:eastAsia="黑体" w:hAnsi="黑体" w:cs="黑体"/>
          <w:sz w:val="32"/>
          <w:szCs w:val="32"/>
          <w:shd w:val="clear" w:color="auto" w:fill="FFFFFF"/>
        </w:rPr>
      </w:pPr>
    </w:p>
    <w:p w:rsidR="00663395" w:rsidRDefault="00663395">
      <w:pPr>
        <w:pStyle w:val="a5"/>
        <w:widowControl w:val="0"/>
        <w:shd w:val="clear" w:color="auto" w:fill="FFFFFF"/>
        <w:overflowPunct w:val="0"/>
        <w:spacing w:before="0" w:beforeAutospacing="0" w:after="0" w:afterAutospacing="0" w:line="576" w:lineRule="exact"/>
        <w:jc w:val="both"/>
        <w:textAlignment w:val="top"/>
        <w:rPr>
          <w:rFonts w:ascii="黑体" w:eastAsia="黑体" w:hAnsi="黑体" w:cs="黑体"/>
          <w:sz w:val="32"/>
          <w:szCs w:val="32"/>
          <w:shd w:val="clear" w:color="auto" w:fill="FFFFFF"/>
        </w:rPr>
      </w:pPr>
    </w:p>
    <w:p w:rsidR="00663395" w:rsidRDefault="00E722BA">
      <w:pPr>
        <w:pStyle w:val="a5"/>
        <w:widowControl w:val="0"/>
        <w:shd w:val="clear" w:color="auto" w:fill="FFFFFF"/>
        <w:overflowPunct w:val="0"/>
        <w:spacing w:before="0" w:beforeAutospacing="0" w:after="0" w:afterAutospacing="0" w:line="576" w:lineRule="exact"/>
        <w:jc w:val="both"/>
        <w:textAlignment w:val="top"/>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附件</w:t>
      </w:r>
      <w:r>
        <w:rPr>
          <w:rFonts w:ascii="黑体" w:eastAsia="黑体" w:hAnsi="黑体" w:cs="黑体" w:hint="eastAsia"/>
          <w:sz w:val="32"/>
          <w:szCs w:val="32"/>
          <w:shd w:val="clear" w:color="auto" w:fill="FFFFFF"/>
        </w:rPr>
        <w:t>2</w:t>
      </w:r>
    </w:p>
    <w:p w:rsidR="00663395" w:rsidRDefault="00663395">
      <w:pPr>
        <w:pStyle w:val="a5"/>
        <w:widowControl w:val="0"/>
        <w:shd w:val="clear" w:color="auto" w:fill="FFFFFF"/>
        <w:overflowPunct w:val="0"/>
        <w:spacing w:before="0" w:beforeAutospacing="0" w:after="0" w:afterAutospacing="0" w:line="400" w:lineRule="exact"/>
        <w:jc w:val="both"/>
        <w:textAlignment w:val="top"/>
        <w:rPr>
          <w:rFonts w:ascii="黑体" w:eastAsia="黑体" w:hAnsi="黑体" w:cs="黑体"/>
          <w:sz w:val="32"/>
          <w:szCs w:val="32"/>
          <w:shd w:val="clear" w:color="auto" w:fill="FFFFFF"/>
        </w:rPr>
      </w:pPr>
    </w:p>
    <w:p w:rsidR="00663395" w:rsidRDefault="00E722BA">
      <w:pPr>
        <w:pStyle w:val="a5"/>
        <w:widowControl w:val="0"/>
        <w:shd w:val="clear" w:color="auto" w:fill="FFFFFF"/>
        <w:overflowPunct w:val="0"/>
        <w:spacing w:before="0" w:beforeAutospacing="0" w:after="0" w:afterAutospacing="0" w:line="576" w:lineRule="exact"/>
        <w:jc w:val="center"/>
        <w:textAlignment w:val="top"/>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赋予产业集聚区的经济管理权限清单</w:t>
      </w:r>
    </w:p>
    <w:p w:rsidR="00663395" w:rsidRDefault="00663395">
      <w:pPr>
        <w:pStyle w:val="a5"/>
        <w:widowControl w:val="0"/>
        <w:shd w:val="clear" w:color="auto" w:fill="FFFFFF"/>
        <w:overflowPunct w:val="0"/>
        <w:spacing w:before="0" w:beforeAutospacing="0" w:after="0" w:afterAutospacing="0" w:line="576" w:lineRule="exact"/>
        <w:jc w:val="center"/>
        <w:textAlignment w:val="top"/>
        <w:rPr>
          <w:rFonts w:ascii="方正小标宋简体" w:eastAsia="方正小标宋简体" w:hAnsi="方正小标宋简体" w:cs="方正小标宋简体"/>
          <w:sz w:val="44"/>
          <w:szCs w:val="44"/>
          <w:shd w:val="clear" w:color="auto" w:fill="FFFFFF"/>
        </w:rPr>
      </w:pPr>
    </w:p>
    <w:tbl>
      <w:tblPr>
        <w:tblW w:w="9315" w:type="dxa"/>
        <w:jc w:val="center"/>
        <w:tblLayout w:type="fixed"/>
        <w:tblCellMar>
          <w:left w:w="0" w:type="dxa"/>
          <w:right w:w="0" w:type="dxa"/>
        </w:tblCellMar>
        <w:tblLook w:val="04A0"/>
      </w:tblPr>
      <w:tblGrid>
        <w:gridCol w:w="750"/>
        <w:gridCol w:w="6420"/>
        <w:gridCol w:w="2145"/>
      </w:tblGrid>
      <w:tr w:rsidR="00663395">
        <w:trPr>
          <w:trHeight w:val="720"/>
          <w:tblHeader/>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黑体" w:eastAsia="黑体" w:hAnsi="Arial" w:cs="黑体"/>
                <w:bCs/>
                <w:sz w:val="28"/>
                <w:szCs w:val="28"/>
              </w:rPr>
            </w:pPr>
            <w:r>
              <w:rPr>
                <w:rFonts w:ascii="黑体" w:eastAsia="黑体" w:hAnsi="Arial" w:cs="黑体" w:hint="eastAsia"/>
                <w:bCs/>
                <w:kern w:val="0"/>
                <w:sz w:val="28"/>
                <w:szCs w:val="28"/>
                <w:lang/>
              </w:rPr>
              <w:t>序号</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黑体" w:eastAsia="黑体" w:hAnsi="Arial" w:cs="黑体"/>
                <w:bCs/>
                <w:sz w:val="28"/>
                <w:szCs w:val="28"/>
              </w:rPr>
            </w:pPr>
            <w:r>
              <w:rPr>
                <w:rFonts w:ascii="黑体" w:eastAsia="黑体" w:hAnsi="Arial" w:cs="黑体" w:hint="eastAsia"/>
                <w:bCs/>
                <w:kern w:val="0"/>
                <w:sz w:val="28"/>
                <w:szCs w:val="28"/>
                <w:lang/>
              </w:rPr>
              <w:t>权限</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黑体" w:eastAsia="黑体" w:hAnsi="Arial" w:cs="黑体"/>
                <w:bCs/>
                <w:sz w:val="28"/>
                <w:szCs w:val="28"/>
              </w:rPr>
            </w:pPr>
            <w:r>
              <w:rPr>
                <w:rFonts w:ascii="黑体" w:eastAsia="黑体" w:hAnsi="Arial" w:cs="黑体" w:hint="eastAsia"/>
                <w:bCs/>
                <w:kern w:val="0"/>
                <w:sz w:val="28"/>
                <w:szCs w:val="28"/>
                <w:lang/>
              </w:rPr>
              <w:t>县级主管部门</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1</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省级服务业发展引导资金项目申报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2</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省节能减排专项资金申报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75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3</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外商投资项目、国外贷款项目、限额以下内资项目进口设备免税申报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4</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创业投资企业备案</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5</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国家级及省级企业技术中心和工程研究中心申报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6</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污染治理和节能减碳中央预算内投资项目申报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75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7</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国家发展改革委黄河流域生态保护和高质量发展专项中央预算内投资项目申报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8</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省级核准的企业固定资产投资项目申请报告转送</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9</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基础产业项目中央预算内投资申报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县发改委</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10</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省级科技计划项目申报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11</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省高新技术企业、创新型企业等申报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12</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省级科技园区认定申报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13</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省级孵化载体备案审核推荐</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14</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河南省创新龙头企业培育和管理审核推荐</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15</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河南省星创天地认定审核推荐</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16</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市级产业技术创新战略联盟备案</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17</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企业研究开发项目鉴定</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18</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市级新产品新技术新工艺研发计划项目备案</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lastRenderedPageBreak/>
              <w:t>19</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省先进制造业发展专项资金项目申报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20</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省新型工业化产业示范基地申报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21</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省级工业新产品综合评价</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22</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国家中小企业发展专项资金项目初审</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23</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国家及省级技术创新示范企业认定申报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24</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省级智能工厂、智能车间申报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25</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国家级和省级绿色工厂、绿色园区申报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4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26</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河南省制造业创新中心申报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县科工信局</w:t>
            </w:r>
          </w:p>
        </w:tc>
      </w:tr>
      <w:tr w:rsidR="00663395">
        <w:trPr>
          <w:trHeight w:val="75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27</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建设项目使用六公顷（不含六公顷）以下国有未利用土地审批</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县自然资源局</w:t>
            </w:r>
          </w:p>
        </w:tc>
      </w:tr>
      <w:tr w:rsidR="00663395">
        <w:trPr>
          <w:trHeight w:val="75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28</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非辐射类建设项目环评审批（“两高一危”除外）</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市生态环境局</w:t>
            </w:r>
          </w:p>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温县分局</w:t>
            </w:r>
          </w:p>
        </w:tc>
      </w:tr>
      <w:tr w:rsidR="00663395">
        <w:trPr>
          <w:trHeight w:val="75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29</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排污许可证核发（“两高一危”除外）</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市生态环境局</w:t>
            </w:r>
          </w:p>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温县分局</w:t>
            </w:r>
          </w:p>
        </w:tc>
      </w:tr>
      <w:tr w:rsidR="00663395">
        <w:trPr>
          <w:trHeight w:val="50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30</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房地产估价机构备案初审</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县住建局</w:t>
            </w:r>
          </w:p>
        </w:tc>
      </w:tr>
      <w:tr w:rsidR="00663395">
        <w:trPr>
          <w:trHeight w:val="50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31</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建筑业企业资质审批权限（省辖市级）</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县住建局</w:t>
            </w:r>
          </w:p>
        </w:tc>
      </w:tr>
      <w:tr w:rsidR="00663395">
        <w:trPr>
          <w:trHeight w:val="50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32</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房地产开发企业资质核定（二级及以下）</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县住建局</w:t>
            </w:r>
          </w:p>
        </w:tc>
      </w:tr>
      <w:tr w:rsidR="00663395">
        <w:trPr>
          <w:trHeight w:val="50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33</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工程监理企业资质审批（省辖市级）</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县住建局</w:t>
            </w:r>
          </w:p>
        </w:tc>
      </w:tr>
      <w:tr w:rsidR="00663395">
        <w:trPr>
          <w:trHeight w:val="75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34</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洪水影响评价审批（河道管理范围建设项目工程建设方案审批）</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县水利局</w:t>
            </w:r>
          </w:p>
        </w:tc>
      </w:tr>
      <w:tr w:rsidR="00663395">
        <w:trPr>
          <w:trHeight w:val="75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35</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3A</w:t>
            </w:r>
            <w:r>
              <w:rPr>
                <w:rFonts w:ascii="仿宋_GB2312" w:eastAsia="仿宋_GB2312" w:hAnsi="Arial" w:cs="仿宋_GB2312" w:hint="eastAsia"/>
                <w:kern w:val="0"/>
                <w:sz w:val="28"/>
                <w:szCs w:val="28"/>
                <w:lang/>
              </w:rPr>
              <w:t>级以下（含</w:t>
            </w:r>
            <w:r>
              <w:rPr>
                <w:rFonts w:ascii="仿宋_GB2312" w:eastAsia="仿宋_GB2312" w:hAnsi="Arial" w:cs="仿宋_GB2312" w:hint="eastAsia"/>
                <w:kern w:val="0"/>
                <w:sz w:val="28"/>
                <w:szCs w:val="28"/>
                <w:lang/>
              </w:rPr>
              <w:t>3A</w:t>
            </w:r>
            <w:r>
              <w:rPr>
                <w:rFonts w:ascii="仿宋_GB2312" w:eastAsia="仿宋_GB2312" w:hAnsi="Arial" w:cs="仿宋_GB2312" w:hint="eastAsia"/>
                <w:kern w:val="0"/>
                <w:sz w:val="28"/>
                <w:szCs w:val="28"/>
                <w:lang/>
              </w:rPr>
              <w:t>级）旅游景区评定</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36</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三星级以下（含三星级）旅游宾馆、旅游餐馆、农家宾</w:t>
            </w:r>
            <w:r>
              <w:rPr>
                <w:rFonts w:ascii="仿宋_GB2312" w:eastAsia="仿宋_GB2312" w:hAnsi="Arial" w:cs="仿宋_GB2312" w:hint="eastAsia"/>
                <w:kern w:val="0"/>
                <w:sz w:val="28"/>
                <w:szCs w:val="28"/>
                <w:lang/>
              </w:rPr>
              <w:t xml:space="preserve"> </w:t>
            </w:r>
            <w:r>
              <w:rPr>
                <w:rFonts w:ascii="仿宋_GB2312" w:eastAsia="仿宋_GB2312" w:hAnsi="Arial" w:cs="仿宋_GB2312" w:hint="eastAsia"/>
                <w:kern w:val="0"/>
                <w:sz w:val="28"/>
                <w:szCs w:val="28"/>
                <w:lang/>
              </w:rPr>
              <w:t>馆、乡村旅游单位的星级评定</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75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37</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4A</w:t>
            </w:r>
            <w:r>
              <w:rPr>
                <w:rFonts w:ascii="仿宋_GB2312" w:eastAsia="仿宋_GB2312" w:hAnsi="Arial" w:cs="仿宋_GB2312" w:hint="eastAsia"/>
                <w:kern w:val="0"/>
                <w:sz w:val="28"/>
                <w:szCs w:val="28"/>
                <w:lang/>
              </w:rPr>
              <w:t>级以上（含</w:t>
            </w:r>
            <w:r>
              <w:rPr>
                <w:rFonts w:ascii="仿宋_GB2312" w:eastAsia="仿宋_GB2312" w:hAnsi="Arial" w:cs="仿宋_GB2312" w:hint="eastAsia"/>
                <w:kern w:val="0"/>
                <w:sz w:val="28"/>
                <w:szCs w:val="28"/>
                <w:lang/>
              </w:rPr>
              <w:t>4A</w:t>
            </w:r>
            <w:r>
              <w:rPr>
                <w:rFonts w:ascii="仿宋_GB2312" w:eastAsia="仿宋_GB2312" w:hAnsi="Arial" w:cs="仿宋_GB2312" w:hint="eastAsia"/>
                <w:kern w:val="0"/>
                <w:sz w:val="28"/>
                <w:szCs w:val="28"/>
                <w:lang/>
              </w:rPr>
              <w:t>级）旅游景区初审</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kern w:val="0"/>
                <w:sz w:val="28"/>
                <w:szCs w:val="28"/>
                <w:lang/>
              </w:rPr>
            </w:pPr>
            <w:r>
              <w:rPr>
                <w:rFonts w:ascii="仿宋_GB2312" w:eastAsia="仿宋_GB2312" w:hAnsi="Arial" w:cs="仿宋_GB2312" w:hint="eastAsia"/>
                <w:kern w:val="0"/>
                <w:sz w:val="28"/>
                <w:szCs w:val="28"/>
                <w:lang/>
              </w:rPr>
              <w:t>县文化广电和</w:t>
            </w:r>
          </w:p>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旅游局</w:t>
            </w:r>
          </w:p>
        </w:tc>
      </w:tr>
      <w:tr w:rsidR="00663395">
        <w:trPr>
          <w:trHeight w:val="53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lastRenderedPageBreak/>
              <w:t>38</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股份有限公司的登记管辖</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53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39</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对企业申报政府质量奖（省长质量奖）受理和初审</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112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40</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食品生产许可审批（粮食加工品、调味品、饼干、蔬菜制品、食糖、糕点、豆制品和食用油、油脂以及制品）</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50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41</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特种设备安全管理人员资格认定</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50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42</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特种设备安装、改造、修理书面告知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50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43</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特种设备使用登记</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50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44</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获得工业产品生产许可证企业年度自查报告审查</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r w:rsidR="00663395">
        <w:trPr>
          <w:trHeight w:val="50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45</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left"/>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专项计量授权新建、复查、扩项、变更申请</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63395" w:rsidRDefault="00E722BA">
            <w:pPr>
              <w:widowControl/>
              <w:spacing w:line="340" w:lineRule="exact"/>
              <w:jc w:val="center"/>
              <w:textAlignment w:val="center"/>
              <w:rPr>
                <w:rFonts w:ascii="仿宋_GB2312" w:eastAsia="仿宋_GB2312" w:hAnsi="Arial" w:cs="仿宋_GB2312"/>
                <w:sz w:val="28"/>
                <w:szCs w:val="28"/>
              </w:rPr>
            </w:pPr>
            <w:r>
              <w:rPr>
                <w:rFonts w:ascii="仿宋_GB2312" w:eastAsia="仿宋_GB2312" w:hAnsi="Arial" w:cs="仿宋_GB2312" w:hint="eastAsia"/>
                <w:kern w:val="0"/>
                <w:sz w:val="28"/>
                <w:szCs w:val="28"/>
                <w:lang/>
              </w:rPr>
              <w:t>县市场监管局</w:t>
            </w:r>
          </w:p>
        </w:tc>
      </w:tr>
    </w:tbl>
    <w:p w:rsidR="00663395" w:rsidRDefault="00663395">
      <w:pPr>
        <w:pStyle w:val="a5"/>
        <w:widowControl w:val="0"/>
        <w:shd w:val="clear" w:color="auto" w:fill="FFFFFF"/>
        <w:overflowPunct w:val="0"/>
        <w:spacing w:before="0" w:beforeAutospacing="0" w:after="0" w:afterAutospacing="0" w:line="576" w:lineRule="exact"/>
        <w:jc w:val="both"/>
        <w:textAlignment w:val="top"/>
        <w:rPr>
          <w:rFonts w:ascii="黑体" w:eastAsia="黑体" w:hAnsi="黑体" w:cs="黑体"/>
          <w:sz w:val="32"/>
          <w:szCs w:val="32"/>
          <w:shd w:val="clear" w:color="auto" w:fill="FFFFFF"/>
        </w:rPr>
      </w:pPr>
    </w:p>
    <w:p w:rsidR="00663395" w:rsidRDefault="00663395">
      <w:pPr>
        <w:spacing w:line="540" w:lineRule="exact"/>
        <w:jc w:val="center"/>
        <w:rPr>
          <w:rFonts w:ascii="仿宋_GB2312" w:eastAsia="仿宋_GB2312" w:hAnsi="仿宋_GB2312" w:cs="仿宋_GB2312"/>
          <w:sz w:val="28"/>
          <w:szCs w:val="28"/>
          <w:shd w:val="clear" w:color="auto" w:fill="FFFFFF"/>
        </w:rPr>
      </w:pPr>
    </w:p>
    <w:sectPr w:rsidR="00663395" w:rsidSect="00663395">
      <w:footerReference w:type="default" r:id="rId7"/>
      <w:pgSz w:w="11906" w:h="16838"/>
      <w:pgMar w:top="2098" w:right="1417" w:bottom="1984" w:left="1644" w:header="851" w:footer="1417"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2BA" w:rsidRDefault="00E722BA" w:rsidP="00663395">
      <w:r>
        <w:separator/>
      </w:r>
    </w:p>
  </w:endnote>
  <w:endnote w:type="continuationSeparator" w:id="0">
    <w:p w:rsidR="00E722BA" w:rsidRDefault="00E722BA" w:rsidP="00663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95" w:rsidRDefault="00663395">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63395" w:rsidRDefault="00E722BA">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sidR="00663395">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663395">
                  <w:rPr>
                    <w:rFonts w:asciiTheme="minorEastAsia" w:hAnsiTheme="minorEastAsia" w:cstheme="minorEastAsia" w:hint="eastAsia"/>
                    <w:sz w:val="28"/>
                    <w:szCs w:val="28"/>
                  </w:rPr>
                  <w:fldChar w:fldCharType="separate"/>
                </w:r>
                <w:r w:rsidR="000B1C5F">
                  <w:rPr>
                    <w:rFonts w:asciiTheme="minorEastAsia" w:hAnsiTheme="minorEastAsia" w:cstheme="minorEastAsia"/>
                    <w:noProof/>
                    <w:sz w:val="28"/>
                    <w:szCs w:val="28"/>
                  </w:rPr>
                  <w:t>17</w:t>
                </w:r>
                <w:r w:rsidR="00663395">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2BA" w:rsidRDefault="00E722BA" w:rsidP="00663395">
      <w:r>
        <w:separator/>
      </w:r>
    </w:p>
  </w:footnote>
  <w:footnote w:type="continuationSeparator" w:id="0">
    <w:p w:rsidR="00E722BA" w:rsidRDefault="00E722BA" w:rsidP="006633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9"/>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B1C5F"/>
    <w:rsid w:val="00172A27"/>
    <w:rsid w:val="00663395"/>
    <w:rsid w:val="00E722BA"/>
    <w:rsid w:val="08446DA9"/>
    <w:rsid w:val="08793850"/>
    <w:rsid w:val="0BBF541E"/>
    <w:rsid w:val="11DA48E2"/>
    <w:rsid w:val="12DE2CC5"/>
    <w:rsid w:val="14591074"/>
    <w:rsid w:val="187C772F"/>
    <w:rsid w:val="1A976EE1"/>
    <w:rsid w:val="1E3907CA"/>
    <w:rsid w:val="1FA80B58"/>
    <w:rsid w:val="211D1142"/>
    <w:rsid w:val="2D1E641A"/>
    <w:rsid w:val="332966E8"/>
    <w:rsid w:val="356A0C11"/>
    <w:rsid w:val="37F02558"/>
    <w:rsid w:val="38EB504E"/>
    <w:rsid w:val="398C7E29"/>
    <w:rsid w:val="3F8E0523"/>
    <w:rsid w:val="4217500B"/>
    <w:rsid w:val="42631A92"/>
    <w:rsid w:val="46DD2865"/>
    <w:rsid w:val="4B493FB1"/>
    <w:rsid w:val="4BFD3953"/>
    <w:rsid w:val="4C2D76DF"/>
    <w:rsid w:val="4E1B76E7"/>
    <w:rsid w:val="4E83144D"/>
    <w:rsid w:val="51814022"/>
    <w:rsid w:val="52996063"/>
    <w:rsid w:val="539B2F4A"/>
    <w:rsid w:val="559F2C85"/>
    <w:rsid w:val="5FF258A1"/>
    <w:rsid w:val="62B41A13"/>
    <w:rsid w:val="63E14075"/>
    <w:rsid w:val="63F05667"/>
    <w:rsid w:val="64930977"/>
    <w:rsid w:val="64AE4DE2"/>
    <w:rsid w:val="669C21A7"/>
    <w:rsid w:val="67EA3931"/>
    <w:rsid w:val="6CB660F8"/>
    <w:rsid w:val="6EB3471A"/>
    <w:rsid w:val="797071A7"/>
    <w:rsid w:val="7D0C0403"/>
    <w:rsid w:val="7D613C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395"/>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663395"/>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63395"/>
    <w:pPr>
      <w:tabs>
        <w:tab w:val="center" w:pos="4153"/>
        <w:tab w:val="right" w:pos="8306"/>
      </w:tabs>
      <w:snapToGrid w:val="0"/>
      <w:jc w:val="left"/>
    </w:pPr>
    <w:rPr>
      <w:sz w:val="18"/>
    </w:rPr>
  </w:style>
  <w:style w:type="paragraph" w:styleId="a4">
    <w:name w:val="header"/>
    <w:basedOn w:val="a"/>
    <w:qFormat/>
    <w:rsid w:val="006633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63395"/>
    <w:pPr>
      <w:widowControl/>
      <w:spacing w:before="100" w:beforeAutospacing="1" w:after="100" w:afterAutospacing="1"/>
      <w:jc w:val="left"/>
    </w:pPr>
    <w:rPr>
      <w:rFonts w:ascii="宋体" w:hAnsi="宋体" w:cs="宋体"/>
      <w:kern w:val="0"/>
      <w:sz w:val="24"/>
    </w:rPr>
  </w:style>
  <w:style w:type="character" w:customStyle="1" w:styleId="font41">
    <w:name w:val="font41"/>
    <w:basedOn w:val="a0"/>
    <w:qFormat/>
    <w:rsid w:val="00663395"/>
    <w:rPr>
      <w:rFonts w:ascii="仿宋_GB2312" w:eastAsia="仿宋_GB2312" w:cs="仿宋_GB2312" w:hint="eastAsia"/>
      <w:color w:val="000000"/>
      <w:sz w:val="28"/>
      <w:szCs w:val="28"/>
      <w:u w:val="none"/>
    </w:rPr>
  </w:style>
  <w:style w:type="character" w:customStyle="1" w:styleId="font51">
    <w:name w:val="font51"/>
    <w:basedOn w:val="a0"/>
    <w:qFormat/>
    <w:rsid w:val="00663395"/>
    <w:rPr>
      <w:rFonts w:ascii="Times New Roman" w:hAnsi="Times New Roman" w:cs="Times New Roman" w:hint="default"/>
      <w:color w:val="000000"/>
      <w:sz w:val="28"/>
      <w:szCs w:val="28"/>
      <w:u w:val="none"/>
    </w:rPr>
  </w:style>
  <w:style w:type="character" w:customStyle="1" w:styleId="font21">
    <w:name w:val="font21"/>
    <w:basedOn w:val="a0"/>
    <w:qFormat/>
    <w:rsid w:val="00663395"/>
    <w:rPr>
      <w:rFonts w:ascii="仿宋_GB2312" w:eastAsia="仿宋_GB2312" w:cs="仿宋_GB2312" w:hint="eastAsia"/>
      <w:color w:val="000000"/>
      <w:sz w:val="28"/>
      <w:szCs w:val="28"/>
      <w:u w:val="none"/>
    </w:rPr>
  </w:style>
  <w:style w:type="character" w:customStyle="1" w:styleId="font31">
    <w:name w:val="font31"/>
    <w:basedOn w:val="a0"/>
    <w:qFormat/>
    <w:rsid w:val="00663395"/>
    <w:rPr>
      <w:rFonts w:ascii="Times New Roman" w:hAnsi="Times New Roman" w:cs="Times New Roman" w:hint="default"/>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1468</Words>
  <Characters>8370</Characters>
  <Application>Microsoft Office Word</Application>
  <DocSecurity>0</DocSecurity>
  <Lines>69</Lines>
  <Paragraphs>19</Paragraphs>
  <ScaleCrop>false</ScaleCrop>
  <Company>Kingsoft</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2022-01-04T08:44:00Z</cp:lastPrinted>
  <dcterms:created xsi:type="dcterms:W3CDTF">2014-10-29T12:08:00Z</dcterms:created>
  <dcterms:modified xsi:type="dcterms:W3CDTF">2022-02-25T08:09:00Z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117BD9D8F6D643DD827D8FC67B1D693E</vt:lpwstr>
  </property>
</Properties>
</file>