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before="0" w:after="0" w:line="560" w:lineRule="exact"/>
        <w:ind w:right="0"/>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 xml:space="preserve">附件1 </w:t>
      </w:r>
    </w:p>
    <w:p>
      <w:pPr>
        <w:widowControl w:val="0"/>
        <w:wordWrap/>
        <w:adjustRightInd/>
        <w:snapToGrid/>
        <w:spacing w:before="0" w:after="0" w:line="560" w:lineRule="exact"/>
        <w:ind w:right="0"/>
        <w:textAlignment w:val="auto"/>
        <w:rPr>
          <w:rFonts w:hint="eastAsia" w:ascii="黑体" w:hAnsi="黑体" w:eastAsia="黑体" w:cs="黑体"/>
          <w:sz w:val="32"/>
          <w:szCs w:val="32"/>
          <w:lang w:val="en-US" w:eastAsia="zh-CN"/>
        </w:rPr>
      </w:pPr>
    </w:p>
    <w:p>
      <w:pPr>
        <w:widowControl w:val="0"/>
        <w:wordWrap/>
        <w:adjustRightInd/>
        <w:snapToGrid/>
        <w:spacing w:before="0" w:after="0" w:line="560" w:lineRule="exact"/>
        <w:ind w:right="0"/>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2022年各乡镇（街道）食品抽检检测任务分配表</w:t>
      </w:r>
    </w:p>
    <w:tbl>
      <w:tblPr>
        <w:tblStyle w:val="7"/>
        <w:tblW w:w="85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60"/>
        <w:gridCol w:w="1917"/>
        <w:gridCol w:w="1917"/>
        <w:gridCol w:w="1963"/>
        <w:gridCol w:w="19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 w:hRule="atLeast"/>
          <w:jc w:val="center"/>
        </w:trPr>
        <w:tc>
          <w:tcPr>
            <w:tcW w:w="7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numPr>
                <w:ilvl w:val="0"/>
                <w:numId w:val="0"/>
              </w:numPr>
              <w:wordWrap/>
              <w:adjustRightInd/>
              <w:snapToGrid/>
              <w:spacing w:before="0" w:after="0" w:line="560" w:lineRule="exact"/>
              <w:ind w:right="0"/>
              <w:jc w:val="center"/>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序号</w:t>
            </w:r>
          </w:p>
        </w:tc>
        <w:tc>
          <w:tcPr>
            <w:tcW w:w="1917" w:type="dxa"/>
            <w:tcBorders>
              <w:top w:val="single" w:color="auto" w:sz="4" w:space="0"/>
              <w:left w:val="nil"/>
              <w:bottom w:val="single" w:color="auto" w:sz="4" w:space="0"/>
              <w:right w:val="single" w:color="auto" w:sz="4" w:space="0"/>
            </w:tcBorders>
            <w:tcMar>
              <w:top w:w="15" w:type="dxa"/>
              <w:left w:w="15" w:type="dxa"/>
              <w:right w:w="15" w:type="dxa"/>
            </w:tcMar>
            <w:vAlign w:val="center"/>
          </w:tcPr>
          <w:p>
            <w:pPr>
              <w:numPr>
                <w:ilvl w:val="0"/>
                <w:numId w:val="0"/>
              </w:numPr>
              <w:wordWrap/>
              <w:adjustRightInd/>
              <w:snapToGrid/>
              <w:spacing w:before="0" w:after="0" w:line="560" w:lineRule="exact"/>
              <w:ind w:right="0"/>
              <w:jc w:val="center"/>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县（市）区</w:t>
            </w:r>
          </w:p>
        </w:tc>
        <w:tc>
          <w:tcPr>
            <w:tcW w:w="1917" w:type="dxa"/>
            <w:tcBorders>
              <w:top w:val="single" w:color="auto" w:sz="4" w:space="0"/>
              <w:left w:val="nil"/>
              <w:bottom w:val="single" w:color="auto" w:sz="4" w:space="0"/>
              <w:right w:val="single" w:color="auto" w:sz="4" w:space="0"/>
            </w:tcBorders>
            <w:tcMar>
              <w:top w:w="15" w:type="dxa"/>
              <w:left w:w="15" w:type="dxa"/>
              <w:right w:w="15" w:type="dxa"/>
            </w:tcMar>
            <w:vAlign w:val="center"/>
          </w:tcPr>
          <w:p>
            <w:pPr>
              <w:numPr>
                <w:ilvl w:val="0"/>
                <w:numId w:val="0"/>
              </w:numPr>
              <w:wordWrap/>
              <w:adjustRightInd/>
              <w:snapToGrid/>
              <w:spacing w:before="0" w:after="0" w:line="560" w:lineRule="exact"/>
              <w:ind w:right="0"/>
              <w:jc w:val="center"/>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人口数（万人）</w:t>
            </w:r>
          </w:p>
        </w:tc>
        <w:tc>
          <w:tcPr>
            <w:tcW w:w="1963" w:type="dxa"/>
            <w:tcBorders>
              <w:top w:val="single" w:color="auto" w:sz="4" w:space="0"/>
              <w:left w:val="nil"/>
              <w:bottom w:val="single" w:color="auto" w:sz="4" w:space="0"/>
              <w:right w:val="single" w:color="auto" w:sz="4" w:space="0"/>
            </w:tcBorders>
            <w:tcMar>
              <w:top w:w="15" w:type="dxa"/>
              <w:left w:w="15" w:type="dxa"/>
              <w:right w:w="15" w:type="dxa"/>
            </w:tcMar>
            <w:vAlign w:val="center"/>
          </w:tcPr>
          <w:p>
            <w:pPr>
              <w:numPr>
                <w:ilvl w:val="0"/>
                <w:numId w:val="0"/>
              </w:numPr>
              <w:wordWrap/>
              <w:adjustRightInd/>
              <w:snapToGrid/>
              <w:spacing w:before="0" w:after="0" w:line="560" w:lineRule="exact"/>
              <w:ind w:right="0"/>
              <w:jc w:val="center"/>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监督抽检任务数（批次）</w:t>
            </w:r>
          </w:p>
        </w:tc>
        <w:tc>
          <w:tcPr>
            <w:tcW w:w="1963" w:type="dxa"/>
            <w:tcBorders>
              <w:top w:val="single" w:color="auto" w:sz="4" w:space="0"/>
              <w:left w:val="nil"/>
              <w:bottom w:val="single" w:color="auto" w:sz="4" w:space="0"/>
              <w:right w:val="single" w:color="auto" w:sz="4" w:space="0"/>
            </w:tcBorders>
            <w:tcMar>
              <w:top w:w="15" w:type="dxa"/>
              <w:left w:w="15" w:type="dxa"/>
              <w:right w:w="15" w:type="dxa"/>
            </w:tcMar>
            <w:vAlign w:val="center"/>
          </w:tcPr>
          <w:p>
            <w:pPr>
              <w:numPr>
                <w:ilvl w:val="0"/>
                <w:numId w:val="0"/>
              </w:numPr>
              <w:wordWrap/>
              <w:adjustRightInd/>
              <w:snapToGrid/>
              <w:spacing w:before="0" w:after="0" w:line="560" w:lineRule="exact"/>
              <w:ind w:right="0"/>
              <w:jc w:val="center"/>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快检任务数（批次）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 w:hRule="atLeast"/>
          <w:jc w:val="center"/>
        </w:trPr>
        <w:tc>
          <w:tcPr>
            <w:tcW w:w="760" w:type="dxa"/>
            <w:tcBorders>
              <w:top w:val="nil"/>
              <w:left w:val="single" w:color="auto" w:sz="4" w:space="0"/>
              <w:bottom w:val="single" w:color="auto" w:sz="4" w:space="0"/>
              <w:right w:val="single" w:color="auto" w:sz="4" w:space="0"/>
            </w:tcBorders>
            <w:tcMar>
              <w:top w:w="15" w:type="dxa"/>
              <w:left w:w="15" w:type="dxa"/>
              <w:right w:w="15" w:type="dxa"/>
            </w:tcMar>
            <w:vAlign w:val="center"/>
          </w:tcPr>
          <w:p>
            <w:pPr>
              <w:numPr>
                <w:ilvl w:val="0"/>
                <w:numId w:val="0"/>
              </w:numPr>
              <w:wordWrap/>
              <w:adjustRightInd/>
              <w:snapToGrid/>
              <w:spacing w:before="0" w:after="0" w:line="560" w:lineRule="exact"/>
              <w:ind w:right="0"/>
              <w:jc w:val="center"/>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w:t>
            </w:r>
          </w:p>
        </w:tc>
        <w:tc>
          <w:tcPr>
            <w:tcW w:w="1917" w:type="dxa"/>
            <w:tcBorders>
              <w:top w:val="nil"/>
              <w:left w:val="nil"/>
              <w:bottom w:val="single" w:color="auto" w:sz="4" w:space="0"/>
              <w:right w:val="single" w:color="auto"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eastAsia" w:ascii="仿宋_GB2312" w:hAnsi="仿宋_GB2312" w:eastAsia="仿宋_GB2312" w:cs="仿宋_GB2312"/>
                <w:b w:val="0"/>
                <w:bCs w:val="0"/>
                <w:i w:val="0"/>
                <w:color w:val="000000"/>
                <w:kern w:val="2"/>
                <w:sz w:val="32"/>
                <w:szCs w:val="32"/>
                <w:u w:val="none"/>
                <w:lang w:val="en-US" w:eastAsia="zh-CN" w:bidi="ar-SA"/>
              </w:rPr>
            </w:pPr>
            <w:r>
              <w:rPr>
                <w:rFonts w:hint="eastAsia" w:ascii="仿宋_GB2312" w:hAnsi="仿宋_GB2312" w:eastAsia="仿宋_GB2312" w:cs="仿宋_GB2312"/>
                <w:b w:val="0"/>
                <w:bCs w:val="0"/>
                <w:i w:val="0"/>
                <w:color w:val="000000"/>
                <w:kern w:val="2"/>
                <w:sz w:val="32"/>
                <w:szCs w:val="32"/>
                <w:u w:val="none"/>
                <w:lang w:val="en-US" w:eastAsia="zh-CN" w:bidi="ar-SA"/>
              </w:rPr>
              <w:t>温泉街道</w:t>
            </w:r>
          </w:p>
          <w:p>
            <w:pPr>
              <w:widowControl/>
              <w:wordWrap/>
              <w:adjustRightInd/>
              <w:snapToGrid/>
              <w:spacing w:before="0" w:after="0" w:line="560" w:lineRule="exact"/>
              <w:ind w:right="0"/>
              <w:jc w:val="center"/>
              <w:textAlignment w:val="center"/>
              <w:rPr>
                <w:rFonts w:hint="eastAsia" w:ascii="仿宋_GB2312" w:hAnsi="仿宋_GB2312" w:eastAsia="仿宋_GB2312" w:cs="仿宋_GB2312"/>
                <w:b w:val="0"/>
                <w:bCs w:val="0"/>
                <w:i w:val="0"/>
                <w:color w:val="000000"/>
                <w:kern w:val="2"/>
                <w:sz w:val="32"/>
                <w:szCs w:val="32"/>
                <w:u w:val="none"/>
                <w:lang w:val="en-US" w:eastAsia="zh-CN" w:bidi="ar-SA"/>
              </w:rPr>
            </w:pPr>
            <w:r>
              <w:rPr>
                <w:rFonts w:hint="eastAsia" w:ascii="仿宋_GB2312" w:hAnsi="仿宋_GB2312" w:eastAsia="仿宋_GB2312" w:cs="仿宋_GB2312"/>
                <w:b w:val="0"/>
                <w:bCs w:val="0"/>
                <w:i w:val="0"/>
                <w:color w:val="000000"/>
                <w:kern w:val="2"/>
                <w:sz w:val="32"/>
                <w:szCs w:val="32"/>
                <w:u w:val="none"/>
                <w:lang w:val="en-US" w:eastAsia="zh-CN" w:bidi="ar-SA"/>
              </w:rPr>
              <w:t>办事处</w:t>
            </w:r>
          </w:p>
        </w:tc>
        <w:tc>
          <w:tcPr>
            <w:tcW w:w="1917" w:type="dxa"/>
            <w:tcBorders>
              <w:top w:val="nil"/>
              <w:left w:val="nil"/>
              <w:bottom w:val="single" w:color="auto" w:sz="4" w:space="0"/>
              <w:right w:val="single" w:color="auto"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仿宋_GB2312" w:hAnsi="仿宋_GB2312" w:eastAsia="仿宋_GB2312" w:cs="仿宋_GB2312"/>
                <w:b w:val="0"/>
                <w:bCs w:val="0"/>
                <w:i w:val="0"/>
                <w:color w:val="000000"/>
                <w:kern w:val="0"/>
                <w:sz w:val="32"/>
                <w:szCs w:val="32"/>
                <w:u w:val="none"/>
                <w:lang w:val="en-US" w:eastAsia="zh-CN"/>
              </w:rPr>
            </w:pPr>
            <w:r>
              <w:rPr>
                <w:rFonts w:hint="eastAsia" w:ascii="仿宋_GB2312" w:hAnsi="仿宋_GB2312" w:eastAsia="仿宋_GB2312" w:cs="仿宋_GB2312"/>
                <w:b w:val="0"/>
                <w:bCs w:val="0"/>
                <w:i w:val="0"/>
                <w:color w:val="000000"/>
                <w:kern w:val="0"/>
                <w:sz w:val="32"/>
                <w:szCs w:val="32"/>
                <w:u w:val="none"/>
                <w:lang w:val="en-US" w:eastAsia="zh-CN"/>
              </w:rPr>
              <w:t>8.0189</w:t>
            </w:r>
          </w:p>
        </w:tc>
        <w:tc>
          <w:tcPr>
            <w:tcW w:w="1963" w:type="dxa"/>
            <w:tcBorders>
              <w:top w:val="nil"/>
              <w:left w:val="nil"/>
              <w:bottom w:val="single" w:color="auto" w:sz="4" w:space="0"/>
              <w:right w:val="single" w:color="auto" w:sz="4" w:space="0"/>
            </w:tcBorders>
            <w:tcMar>
              <w:top w:w="15" w:type="dxa"/>
              <w:left w:w="15" w:type="dxa"/>
              <w:right w:w="15" w:type="dxa"/>
            </w:tcMar>
            <w:vAlign w:val="center"/>
          </w:tcPr>
          <w:p>
            <w:pPr>
              <w:numPr>
                <w:ilvl w:val="0"/>
                <w:numId w:val="0"/>
              </w:numPr>
              <w:wordWrap/>
              <w:adjustRightInd/>
              <w:snapToGrid/>
              <w:spacing w:before="0" w:after="0" w:line="560" w:lineRule="exact"/>
              <w:ind w:right="0"/>
              <w:jc w:val="center"/>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258</w:t>
            </w:r>
          </w:p>
        </w:tc>
        <w:tc>
          <w:tcPr>
            <w:tcW w:w="1963" w:type="dxa"/>
            <w:tcBorders>
              <w:top w:val="nil"/>
              <w:left w:val="nil"/>
              <w:bottom w:val="single" w:color="auto" w:sz="4" w:space="0"/>
              <w:right w:val="single" w:color="auto" w:sz="4" w:space="0"/>
            </w:tcBorders>
            <w:tcMar>
              <w:top w:w="15" w:type="dxa"/>
              <w:left w:w="15" w:type="dxa"/>
              <w:right w:w="15" w:type="dxa"/>
            </w:tcMar>
            <w:vAlign w:val="center"/>
          </w:tcPr>
          <w:p>
            <w:pPr>
              <w:numPr>
                <w:ilvl w:val="0"/>
                <w:numId w:val="0"/>
              </w:numPr>
              <w:wordWrap/>
              <w:adjustRightInd/>
              <w:snapToGrid/>
              <w:spacing w:before="0" w:after="0" w:line="560" w:lineRule="exact"/>
              <w:ind w:right="0"/>
              <w:jc w:val="center"/>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 w:hRule="atLeast"/>
          <w:jc w:val="center"/>
        </w:trPr>
        <w:tc>
          <w:tcPr>
            <w:tcW w:w="760" w:type="dxa"/>
            <w:tcBorders>
              <w:top w:val="nil"/>
              <w:left w:val="single" w:color="auto" w:sz="4" w:space="0"/>
              <w:bottom w:val="single" w:color="auto" w:sz="4" w:space="0"/>
              <w:right w:val="single" w:color="auto" w:sz="4" w:space="0"/>
            </w:tcBorders>
            <w:tcMar>
              <w:top w:w="15" w:type="dxa"/>
              <w:left w:w="15" w:type="dxa"/>
              <w:right w:w="15" w:type="dxa"/>
            </w:tcMar>
            <w:vAlign w:val="center"/>
          </w:tcPr>
          <w:p>
            <w:pPr>
              <w:numPr>
                <w:ilvl w:val="0"/>
                <w:numId w:val="0"/>
              </w:numPr>
              <w:wordWrap/>
              <w:adjustRightInd/>
              <w:snapToGrid/>
              <w:spacing w:before="0" w:after="0" w:line="560" w:lineRule="exact"/>
              <w:ind w:right="0"/>
              <w:jc w:val="center"/>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w:t>
            </w:r>
          </w:p>
        </w:tc>
        <w:tc>
          <w:tcPr>
            <w:tcW w:w="1917" w:type="dxa"/>
            <w:tcBorders>
              <w:top w:val="nil"/>
              <w:left w:val="nil"/>
              <w:bottom w:val="single" w:color="auto" w:sz="4" w:space="0"/>
              <w:right w:val="single" w:color="auto" w:sz="4" w:space="0"/>
            </w:tcBorders>
            <w:tcMar>
              <w:top w:w="15" w:type="dxa"/>
              <w:left w:w="15" w:type="dxa"/>
              <w:right w:w="15" w:type="dxa"/>
            </w:tcMar>
            <w:vAlign w:val="center"/>
          </w:tcPr>
          <w:p>
            <w:pPr>
              <w:numPr>
                <w:ilvl w:val="0"/>
                <w:numId w:val="0"/>
              </w:numPr>
              <w:wordWrap/>
              <w:adjustRightInd/>
              <w:snapToGrid/>
              <w:spacing w:before="0" w:after="0" w:line="560" w:lineRule="exact"/>
              <w:ind w:right="0"/>
              <w:jc w:val="center"/>
              <w:rPr>
                <w:rFonts w:hint="eastAsia" w:ascii="仿宋_GB2312" w:hAnsi="仿宋_GB2312" w:eastAsia="仿宋_GB2312" w:cs="仿宋_GB2312"/>
                <w:b w:val="0"/>
                <w:bCs w:val="0"/>
                <w:i w:val="0"/>
                <w:color w:val="000000"/>
                <w:kern w:val="0"/>
                <w:sz w:val="32"/>
                <w:szCs w:val="32"/>
                <w:u w:val="none"/>
                <w:lang w:val="en-US" w:eastAsia="zh-CN"/>
              </w:rPr>
            </w:pPr>
            <w:r>
              <w:rPr>
                <w:rFonts w:hint="eastAsia" w:ascii="仿宋_GB2312" w:hAnsi="仿宋_GB2312" w:eastAsia="仿宋_GB2312" w:cs="仿宋_GB2312"/>
                <w:b w:val="0"/>
                <w:bCs w:val="0"/>
                <w:i w:val="0"/>
                <w:color w:val="000000"/>
                <w:kern w:val="0"/>
                <w:sz w:val="32"/>
                <w:szCs w:val="32"/>
                <w:u w:val="none"/>
                <w:lang w:val="en-US" w:eastAsia="zh-CN"/>
              </w:rPr>
              <w:t>岳村街道</w:t>
            </w:r>
          </w:p>
          <w:p>
            <w:pPr>
              <w:numPr>
                <w:ilvl w:val="0"/>
                <w:numId w:val="0"/>
              </w:numPr>
              <w:wordWrap/>
              <w:adjustRightInd/>
              <w:snapToGrid/>
              <w:spacing w:before="0" w:after="0" w:line="560" w:lineRule="exact"/>
              <w:ind w:right="0"/>
              <w:jc w:val="center"/>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i w:val="0"/>
                <w:color w:val="000000"/>
                <w:kern w:val="0"/>
                <w:sz w:val="32"/>
                <w:szCs w:val="32"/>
                <w:u w:val="none"/>
                <w:lang w:val="en-US" w:eastAsia="zh-CN"/>
              </w:rPr>
              <w:t>办事处</w:t>
            </w:r>
          </w:p>
        </w:tc>
        <w:tc>
          <w:tcPr>
            <w:tcW w:w="1917" w:type="dxa"/>
            <w:tcBorders>
              <w:top w:val="nil"/>
              <w:left w:val="nil"/>
              <w:bottom w:val="single" w:color="auto" w:sz="4" w:space="0"/>
              <w:right w:val="single" w:color="auto" w:sz="4" w:space="0"/>
            </w:tcBorders>
            <w:tcMar>
              <w:top w:w="15" w:type="dxa"/>
              <w:left w:w="15" w:type="dxa"/>
              <w:right w:w="15" w:type="dxa"/>
            </w:tcMar>
            <w:vAlign w:val="center"/>
          </w:tcPr>
          <w:p>
            <w:pPr>
              <w:numPr>
                <w:ilvl w:val="0"/>
                <w:numId w:val="0"/>
              </w:numPr>
              <w:wordWrap/>
              <w:adjustRightInd/>
              <w:snapToGrid/>
              <w:spacing w:before="0" w:after="0" w:line="560" w:lineRule="exact"/>
              <w:ind w:right="0"/>
              <w:jc w:val="center"/>
              <w:rPr>
                <w:rFonts w:hint="default" w:ascii="仿宋_GB2312" w:hAnsi="仿宋_GB2312" w:eastAsia="仿宋_GB2312" w:cs="仿宋_GB2312"/>
                <w:b w:val="0"/>
                <w:bCs w:val="0"/>
                <w:i w:val="0"/>
                <w:color w:val="000000"/>
                <w:kern w:val="0"/>
                <w:sz w:val="32"/>
                <w:szCs w:val="32"/>
                <w:u w:val="none"/>
                <w:lang w:val="en-US" w:eastAsia="zh-CN"/>
              </w:rPr>
            </w:pPr>
            <w:r>
              <w:rPr>
                <w:rFonts w:hint="eastAsia" w:ascii="仿宋_GB2312" w:hAnsi="仿宋_GB2312" w:eastAsia="仿宋_GB2312" w:cs="仿宋_GB2312"/>
                <w:b w:val="0"/>
                <w:bCs w:val="0"/>
                <w:i w:val="0"/>
                <w:color w:val="000000"/>
                <w:kern w:val="0"/>
                <w:sz w:val="32"/>
                <w:szCs w:val="32"/>
                <w:u w:val="none"/>
                <w:lang w:val="en-US" w:eastAsia="zh-CN"/>
              </w:rPr>
              <w:t>6.5163</w:t>
            </w:r>
          </w:p>
        </w:tc>
        <w:tc>
          <w:tcPr>
            <w:tcW w:w="1963" w:type="dxa"/>
            <w:tcBorders>
              <w:top w:val="nil"/>
              <w:left w:val="nil"/>
              <w:bottom w:val="single" w:color="auto" w:sz="4" w:space="0"/>
              <w:right w:val="single" w:color="auto" w:sz="4" w:space="0"/>
            </w:tcBorders>
            <w:tcMar>
              <w:top w:w="15" w:type="dxa"/>
              <w:left w:w="15" w:type="dxa"/>
              <w:right w:w="15" w:type="dxa"/>
            </w:tcMar>
            <w:vAlign w:val="center"/>
          </w:tcPr>
          <w:p>
            <w:pPr>
              <w:numPr>
                <w:ilvl w:val="0"/>
                <w:numId w:val="0"/>
              </w:numPr>
              <w:wordWrap/>
              <w:adjustRightInd/>
              <w:snapToGrid/>
              <w:spacing w:before="0" w:after="0" w:line="560" w:lineRule="exact"/>
              <w:ind w:right="0"/>
              <w:jc w:val="center"/>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210</w:t>
            </w:r>
          </w:p>
        </w:tc>
        <w:tc>
          <w:tcPr>
            <w:tcW w:w="1963" w:type="dxa"/>
            <w:tcBorders>
              <w:top w:val="nil"/>
              <w:left w:val="nil"/>
              <w:bottom w:val="single" w:color="auto" w:sz="4" w:space="0"/>
              <w:right w:val="single" w:color="auto" w:sz="4" w:space="0"/>
            </w:tcBorders>
            <w:tcMar>
              <w:top w:w="15" w:type="dxa"/>
              <w:left w:w="15" w:type="dxa"/>
              <w:right w:w="15" w:type="dxa"/>
            </w:tcMar>
            <w:vAlign w:val="center"/>
          </w:tcPr>
          <w:p>
            <w:pPr>
              <w:numPr>
                <w:ilvl w:val="0"/>
                <w:numId w:val="0"/>
              </w:numPr>
              <w:wordWrap/>
              <w:adjustRightInd/>
              <w:snapToGrid/>
              <w:spacing w:before="0" w:after="0" w:line="560" w:lineRule="exact"/>
              <w:ind w:right="0"/>
              <w:jc w:val="center"/>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 w:hRule="atLeast"/>
          <w:jc w:val="center"/>
        </w:trPr>
        <w:tc>
          <w:tcPr>
            <w:tcW w:w="760" w:type="dxa"/>
            <w:tcBorders>
              <w:top w:val="nil"/>
              <w:left w:val="single" w:color="auto" w:sz="4" w:space="0"/>
              <w:bottom w:val="single" w:color="auto" w:sz="4" w:space="0"/>
              <w:right w:val="single" w:color="auto" w:sz="4" w:space="0"/>
            </w:tcBorders>
            <w:tcMar>
              <w:top w:w="15" w:type="dxa"/>
              <w:left w:w="15" w:type="dxa"/>
              <w:right w:w="15" w:type="dxa"/>
            </w:tcMar>
            <w:vAlign w:val="center"/>
          </w:tcPr>
          <w:p>
            <w:pPr>
              <w:numPr>
                <w:ilvl w:val="0"/>
                <w:numId w:val="0"/>
              </w:numPr>
              <w:wordWrap/>
              <w:adjustRightInd/>
              <w:snapToGrid/>
              <w:spacing w:before="0" w:after="0" w:line="560" w:lineRule="exact"/>
              <w:ind w:right="0"/>
              <w:jc w:val="center"/>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w:t>
            </w:r>
          </w:p>
        </w:tc>
        <w:tc>
          <w:tcPr>
            <w:tcW w:w="1917" w:type="dxa"/>
            <w:tcBorders>
              <w:top w:val="nil"/>
              <w:left w:val="nil"/>
              <w:bottom w:val="single" w:color="auto" w:sz="4" w:space="0"/>
              <w:right w:val="single" w:color="auto"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eastAsia" w:ascii="仿宋_GB2312" w:hAnsi="仿宋_GB2312" w:eastAsia="仿宋_GB2312" w:cs="仿宋_GB2312"/>
                <w:b w:val="0"/>
                <w:bCs w:val="0"/>
                <w:i w:val="0"/>
                <w:color w:val="000000"/>
                <w:kern w:val="2"/>
                <w:sz w:val="32"/>
                <w:szCs w:val="32"/>
                <w:u w:val="none"/>
                <w:lang w:val="en-US" w:eastAsia="zh-CN" w:bidi="ar-SA"/>
              </w:rPr>
            </w:pPr>
            <w:r>
              <w:rPr>
                <w:rFonts w:hint="eastAsia" w:ascii="仿宋_GB2312" w:hAnsi="仿宋_GB2312" w:eastAsia="仿宋_GB2312" w:cs="仿宋_GB2312"/>
                <w:b w:val="0"/>
                <w:bCs w:val="0"/>
                <w:i w:val="0"/>
                <w:color w:val="000000"/>
                <w:kern w:val="2"/>
                <w:sz w:val="32"/>
                <w:szCs w:val="32"/>
                <w:u w:val="none"/>
                <w:lang w:val="en-US" w:eastAsia="zh-CN" w:bidi="ar-SA"/>
              </w:rPr>
              <w:t>黄河街道</w:t>
            </w:r>
          </w:p>
          <w:p>
            <w:pPr>
              <w:widowControl/>
              <w:wordWrap/>
              <w:adjustRightInd/>
              <w:snapToGrid/>
              <w:spacing w:before="0" w:after="0" w:line="560" w:lineRule="exact"/>
              <w:ind w:right="0"/>
              <w:jc w:val="center"/>
              <w:textAlignment w:val="center"/>
              <w:rPr>
                <w:rFonts w:hint="eastAsia" w:ascii="仿宋_GB2312" w:hAnsi="仿宋_GB2312" w:eastAsia="仿宋_GB2312" w:cs="仿宋_GB2312"/>
                <w:b w:val="0"/>
                <w:bCs w:val="0"/>
                <w:i w:val="0"/>
                <w:color w:val="000000"/>
                <w:kern w:val="2"/>
                <w:sz w:val="32"/>
                <w:szCs w:val="32"/>
                <w:u w:val="none"/>
                <w:lang w:val="en-US" w:eastAsia="zh-CN" w:bidi="ar-SA"/>
              </w:rPr>
            </w:pPr>
            <w:r>
              <w:rPr>
                <w:rFonts w:hint="eastAsia" w:ascii="仿宋_GB2312" w:hAnsi="仿宋_GB2312" w:eastAsia="仿宋_GB2312" w:cs="仿宋_GB2312"/>
                <w:b w:val="0"/>
                <w:bCs w:val="0"/>
                <w:i w:val="0"/>
                <w:color w:val="000000"/>
                <w:kern w:val="2"/>
                <w:sz w:val="32"/>
                <w:szCs w:val="32"/>
                <w:u w:val="none"/>
                <w:lang w:val="en-US" w:eastAsia="zh-CN" w:bidi="ar-SA"/>
              </w:rPr>
              <w:t>办事处</w:t>
            </w:r>
          </w:p>
        </w:tc>
        <w:tc>
          <w:tcPr>
            <w:tcW w:w="1917" w:type="dxa"/>
            <w:tcBorders>
              <w:top w:val="nil"/>
              <w:left w:val="nil"/>
              <w:bottom w:val="single" w:color="auto" w:sz="4" w:space="0"/>
              <w:right w:val="single" w:color="auto"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仿宋_GB2312" w:hAnsi="仿宋_GB2312" w:eastAsia="仿宋_GB2312" w:cs="仿宋_GB2312"/>
                <w:b w:val="0"/>
                <w:bCs w:val="0"/>
                <w:i w:val="0"/>
                <w:color w:val="000000"/>
                <w:kern w:val="0"/>
                <w:sz w:val="32"/>
                <w:szCs w:val="32"/>
                <w:u w:val="none"/>
                <w:lang w:val="en-US" w:eastAsia="zh-CN"/>
              </w:rPr>
            </w:pPr>
            <w:r>
              <w:rPr>
                <w:rFonts w:hint="eastAsia" w:ascii="仿宋_GB2312" w:hAnsi="仿宋_GB2312" w:eastAsia="仿宋_GB2312" w:cs="仿宋_GB2312"/>
                <w:b w:val="0"/>
                <w:bCs w:val="0"/>
                <w:i w:val="0"/>
                <w:color w:val="000000"/>
                <w:kern w:val="0"/>
                <w:sz w:val="32"/>
                <w:szCs w:val="32"/>
                <w:u w:val="none"/>
                <w:lang w:val="en-US" w:eastAsia="zh-CN"/>
              </w:rPr>
              <w:t>2.2419</w:t>
            </w:r>
          </w:p>
        </w:tc>
        <w:tc>
          <w:tcPr>
            <w:tcW w:w="1963" w:type="dxa"/>
            <w:tcBorders>
              <w:top w:val="nil"/>
              <w:left w:val="nil"/>
              <w:bottom w:val="single" w:color="auto" w:sz="4" w:space="0"/>
              <w:right w:val="single" w:color="auto" w:sz="4" w:space="0"/>
            </w:tcBorders>
            <w:tcMar>
              <w:top w:w="15" w:type="dxa"/>
              <w:left w:w="15" w:type="dxa"/>
              <w:right w:w="15" w:type="dxa"/>
            </w:tcMar>
            <w:vAlign w:val="center"/>
          </w:tcPr>
          <w:p>
            <w:pPr>
              <w:numPr>
                <w:ilvl w:val="0"/>
                <w:numId w:val="0"/>
              </w:numPr>
              <w:wordWrap/>
              <w:adjustRightInd/>
              <w:snapToGrid/>
              <w:spacing w:before="0" w:after="0" w:line="560" w:lineRule="exact"/>
              <w:ind w:right="0"/>
              <w:jc w:val="center"/>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auto"/>
                <w:sz w:val="32"/>
                <w:szCs w:val="32"/>
                <w:lang w:val="en-US" w:eastAsia="zh-CN"/>
              </w:rPr>
              <w:t>72</w:t>
            </w:r>
          </w:p>
        </w:tc>
        <w:tc>
          <w:tcPr>
            <w:tcW w:w="1963" w:type="dxa"/>
            <w:tcBorders>
              <w:top w:val="nil"/>
              <w:left w:val="nil"/>
              <w:bottom w:val="single" w:color="auto" w:sz="4" w:space="0"/>
              <w:right w:val="single" w:color="auto" w:sz="4" w:space="0"/>
            </w:tcBorders>
            <w:tcMar>
              <w:top w:w="15" w:type="dxa"/>
              <w:left w:w="15" w:type="dxa"/>
              <w:right w:w="15" w:type="dxa"/>
            </w:tcMar>
            <w:vAlign w:val="center"/>
          </w:tcPr>
          <w:p>
            <w:pPr>
              <w:numPr>
                <w:ilvl w:val="0"/>
                <w:numId w:val="0"/>
              </w:numPr>
              <w:wordWrap/>
              <w:adjustRightInd/>
              <w:snapToGrid/>
              <w:spacing w:before="0" w:after="0" w:line="560" w:lineRule="exact"/>
              <w:ind w:right="0"/>
              <w:jc w:val="center"/>
              <w:rPr>
                <w:rFonts w:hint="eastAsia" w:ascii="仿宋_GB2312" w:hAnsi="仿宋_GB2312" w:eastAsia="仿宋_GB2312" w:cs="仿宋_GB2312"/>
                <w:b w:val="0"/>
                <w:bCs w:val="0"/>
                <w:color w:val="FF0000"/>
                <w:sz w:val="32"/>
                <w:szCs w:val="32"/>
                <w:lang w:val="en-US" w:eastAsia="zh-CN"/>
              </w:rPr>
            </w:pPr>
            <w:r>
              <w:rPr>
                <w:rFonts w:hint="eastAsia" w:ascii="仿宋_GB2312" w:hAnsi="仿宋_GB2312" w:eastAsia="仿宋_GB2312" w:cs="仿宋_GB2312"/>
                <w:b w:val="0"/>
                <w:bCs w:val="0"/>
                <w:color w:val="auto"/>
                <w:sz w:val="32"/>
                <w:szCs w:val="32"/>
                <w:lang w:val="en-US" w:eastAsia="zh-CN"/>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 w:hRule="atLeast"/>
          <w:jc w:val="center"/>
        </w:trPr>
        <w:tc>
          <w:tcPr>
            <w:tcW w:w="760" w:type="dxa"/>
            <w:tcBorders>
              <w:top w:val="nil"/>
              <w:left w:val="single" w:color="auto" w:sz="4" w:space="0"/>
              <w:bottom w:val="single" w:color="auto" w:sz="4" w:space="0"/>
              <w:right w:val="single" w:color="auto" w:sz="4" w:space="0"/>
            </w:tcBorders>
            <w:tcMar>
              <w:top w:w="15" w:type="dxa"/>
              <w:left w:w="15" w:type="dxa"/>
              <w:right w:w="15" w:type="dxa"/>
            </w:tcMar>
            <w:vAlign w:val="center"/>
          </w:tcPr>
          <w:p>
            <w:pPr>
              <w:numPr>
                <w:ilvl w:val="0"/>
                <w:numId w:val="0"/>
              </w:numPr>
              <w:wordWrap/>
              <w:adjustRightInd/>
              <w:snapToGrid/>
              <w:spacing w:before="0" w:after="0" w:line="560" w:lineRule="exact"/>
              <w:ind w:right="0"/>
              <w:jc w:val="center"/>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4</w:t>
            </w:r>
          </w:p>
        </w:tc>
        <w:tc>
          <w:tcPr>
            <w:tcW w:w="1917" w:type="dxa"/>
            <w:tcBorders>
              <w:top w:val="nil"/>
              <w:left w:val="nil"/>
              <w:bottom w:val="single" w:color="auto" w:sz="4" w:space="0"/>
              <w:right w:val="single" w:color="auto" w:sz="4" w:space="0"/>
            </w:tcBorders>
            <w:tcMar>
              <w:top w:w="15" w:type="dxa"/>
              <w:left w:w="15" w:type="dxa"/>
              <w:right w:w="15" w:type="dxa"/>
            </w:tcMar>
            <w:vAlign w:val="center"/>
          </w:tcPr>
          <w:p>
            <w:pPr>
              <w:numPr>
                <w:ilvl w:val="0"/>
                <w:numId w:val="0"/>
              </w:numPr>
              <w:wordWrap/>
              <w:adjustRightInd/>
              <w:snapToGrid/>
              <w:spacing w:before="0" w:after="0" w:line="560" w:lineRule="exact"/>
              <w:ind w:right="0"/>
              <w:jc w:val="center"/>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张羌街道</w:t>
            </w:r>
          </w:p>
          <w:p>
            <w:pPr>
              <w:numPr>
                <w:ilvl w:val="0"/>
                <w:numId w:val="0"/>
              </w:numPr>
              <w:wordWrap/>
              <w:adjustRightInd/>
              <w:snapToGrid/>
              <w:spacing w:before="0" w:after="0" w:line="560" w:lineRule="exact"/>
              <w:ind w:right="0"/>
              <w:jc w:val="center"/>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办事处</w:t>
            </w:r>
          </w:p>
        </w:tc>
        <w:tc>
          <w:tcPr>
            <w:tcW w:w="1917" w:type="dxa"/>
            <w:tcBorders>
              <w:top w:val="nil"/>
              <w:left w:val="nil"/>
              <w:bottom w:val="single" w:color="auto" w:sz="4" w:space="0"/>
              <w:right w:val="single" w:color="auto" w:sz="4" w:space="0"/>
            </w:tcBorders>
            <w:tcMar>
              <w:top w:w="15" w:type="dxa"/>
              <w:left w:w="15" w:type="dxa"/>
              <w:right w:w="15" w:type="dxa"/>
            </w:tcMar>
            <w:vAlign w:val="center"/>
          </w:tcPr>
          <w:p>
            <w:pPr>
              <w:numPr>
                <w:ilvl w:val="0"/>
                <w:numId w:val="0"/>
              </w:numPr>
              <w:wordWrap/>
              <w:adjustRightInd/>
              <w:snapToGrid/>
              <w:spacing w:before="0" w:after="0" w:line="560" w:lineRule="exact"/>
              <w:ind w:right="0"/>
              <w:jc w:val="center"/>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3.3427</w:t>
            </w:r>
          </w:p>
        </w:tc>
        <w:tc>
          <w:tcPr>
            <w:tcW w:w="1963" w:type="dxa"/>
            <w:tcBorders>
              <w:top w:val="nil"/>
              <w:left w:val="nil"/>
              <w:bottom w:val="single" w:color="auto" w:sz="4" w:space="0"/>
              <w:right w:val="single" w:color="auto" w:sz="4" w:space="0"/>
            </w:tcBorders>
            <w:tcMar>
              <w:top w:w="15" w:type="dxa"/>
              <w:left w:w="15" w:type="dxa"/>
              <w:right w:w="15" w:type="dxa"/>
            </w:tcMar>
            <w:vAlign w:val="center"/>
          </w:tcPr>
          <w:p>
            <w:pPr>
              <w:numPr>
                <w:ilvl w:val="0"/>
                <w:numId w:val="0"/>
              </w:numPr>
              <w:wordWrap/>
              <w:adjustRightInd/>
              <w:snapToGrid/>
              <w:spacing w:before="0" w:after="0" w:line="560" w:lineRule="exact"/>
              <w:ind w:right="0"/>
              <w:jc w:val="center"/>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107</w:t>
            </w:r>
          </w:p>
        </w:tc>
        <w:tc>
          <w:tcPr>
            <w:tcW w:w="1963" w:type="dxa"/>
            <w:tcBorders>
              <w:top w:val="nil"/>
              <w:left w:val="nil"/>
              <w:bottom w:val="single" w:color="auto" w:sz="4" w:space="0"/>
              <w:right w:val="single" w:color="auto" w:sz="4" w:space="0"/>
            </w:tcBorders>
            <w:tcMar>
              <w:top w:w="15" w:type="dxa"/>
              <w:left w:w="15" w:type="dxa"/>
              <w:right w:w="15" w:type="dxa"/>
            </w:tcMar>
            <w:vAlign w:val="center"/>
          </w:tcPr>
          <w:p>
            <w:pPr>
              <w:numPr>
                <w:ilvl w:val="0"/>
                <w:numId w:val="0"/>
              </w:numPr>
              <w:wordWrap/>
              <w:adjustRightInd/>
              <w:snapToGrid/>
              <w:spacing w:before="0" w:after="0" w:line="560" w:lineRule="exact"/>
              <w:ind w:right="0"/>
              <w:jc w:val="center"/>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 w:hRule="atLeast"/>
          <w:jc w:val="center"/>
        </w:trPr>
        <w:tc>
          <w:tcPr>
            <w:tcW w:w="760" w:type="dxa"/>
            <w:tcBorders>
              <w:top w:val="nil"/>
              <w:left w:val="single" w:color="auto" w:sz="4" w:space="0"/>
              <w:bottom w:val="single" w:color="auto" w:sz="4" w:space="0"/>
              <w:right w:val="single" w:color="auto" w:sz="4" w:space="0"/>
            </w:tcBorders>
            <w:tcMar>
              <w:top w:w="15" w:type="dxa"/>
              <w:left w:w="15" w:type="dxa"/>
              <w:right w:w="15" w:type="dxa"/>
            </w:tcMar>
            <w:vAlign w:val="center"/>
          </w:tcPr>
          <w:p>
            <w:pPr>
              <w:numPr>
                <w:ilvl w:val="0"/>
                <w:numId w:val="0"/>
              </w:numPr>
              <w:wordWrap/>
              <w:adjustRightInd/>
              <w:snapToGrid/>
              <w:spacing w:before="0" w:after="0" w:line="560" w:lineRule="exact"/>
              <w:ind w:right="0"/>
              <w:jc w:val="center"/>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5</w:t>
            </w:r>
          </w:p>
        </w:tc>
        <w:tc>
          <w:tcPr>
            <w:tcW w:w="1917" w:type="dxa"/>
            <w:tcBorders>
              <w:top w:val="nil"/>
              <w:left w:val="nil"/>
              <w:bottom w:val="single" w:color="auto" w:sz="4" w:space="0"/>
              <w:right w:val="single" w:color="auto"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eastAsia" w:ascii="仿宋_GB2312" w:hAnsi="仿宋_GB2312" w:eastAsia="仿宋_GB2312" w:cs="仿宋_GB2312"/>
                <w:b w:val="0"/>
                <w:bCs w:val="0"/>
                <w:i w:val="0"/>
                <w:color w:val="000000"/>
                <w:kern w:val="2"/>
                <w:sz w:val="32"/>
                <w:szCs w:val="32"/>
                <w:u w:val="none"/>
                <w:lang w:val="en-US" w:eastAsia="zh-CN" w:bidi="ar-SA"/>
              </w:rPr>
            </w:pPr>
            <w:r>
              <w:rPr>
                <w:rFonts w:hint="eastAsia" w:ascii="仿宋_GB2312" w:hAnsi="仿宋_GB2312" w:eastAsia="仿宋_GB2312" w:cs="仿宋_GB2312"/>
                <w:b w:val="0"/>
                <w:bCs w:val="0"/>
                <w:i w:val="0"/>
                <w:color w:val="000000"/>
                <w:kern w:val="2"/>
                <w:sz w:val="32"/>
                <w:szCs w:val="32"/>
                <w:u w:val="none"/>
                <w:lang w:val="en-US" w:eastAsia="zh-CN" w:bidi="ar-SA"/>
              </w:rPr>
              <w:t>北冷乡</w:t>
            </w:r>
          </w:p>
        </w:tc>
        <w:tc>
          <w:tcPr>
            <w:tcW w:w="1917" w:type="dxa"/>
            <w:tcBorders>
              <w:top w:val="nil"/>
              <w:left w:val="nil"/>
              <w:bottom w:val="single" w:color="auto" w:sz="4" w:space="0"/>
              <w:right w:val="single" w:color="auto"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仿宋_GB2312" w:hAnsi="仿宋_GB2312" w:eastAsia="仿宋_GB2312" w:cs="仿宋_GB2312"/>
                <w:b w:val="0"/>
                <w:bCs w:val="0"/>
                <w:i w:val="0"/>
                <w:color w:val="000000"/>
                <w:kern w:val="2"/>
                <w:sz w:val="32"/>
                <w:szCs w:val="32"/>
                <w:u w:val="none"/>
                <w:lang w:val="en-US" w:eastAsia="zh-CN" w:bidi="ar-SA"/>
              </w:rPr>
            </w:pPr>
            <w:r>
              <w:rPr>
                <w:rFonts w:hint="eastAsia" w:ascii="仿宋_GB2312" w:hAnsi="仿宋_GB2312" w:eastAsia="仿宋_GB2312" w:cs="仿宋_GB2312"/>
                <w:b w:val="0"/>
                <w:bCs w:val="0"/>
                <w:i w:val="0"/>
                <w:color w:val="000000"/>
                <w:kern w:val="2"/>
                <w:sz w:val="32"/>
                <w:szCs w:val="32"/>
                <w:u w:val="none"/>
                <w:lang w:val="en-US" w:eastAsia="zh-CN" w:bidi="ar-SA"/>
              </w:rPr>
              <w:t>1.4206</w:t>
            </w:r>
          </w:p>
        </w:tc>
        <w:tc>
          <w:tcPr>
            <w:tcW w:w="1963" w:type="dxa"/>
            <w:tcBorders>
              <w:top w:val="nil"/>
              <w:left w:val="nil"/>
              <w:bottom w:val="single" w:color="auto" w:sz="4" w:space="0"/>
              <w:right w:val="single" w:color="auto" w:sz="4" w:space="0"/>
            </w:tcBorders>
            <w:tcMar>
              <w:top w:w="15" w:type="dxa"/>
              <w:left w:w="15" w:type="dxa"/>
              <w:right w:w="15" w:type="dxa"/>
            </w:tcMar>
            <w:vAlign w:val="center"/>
          </w:tcPr>
          <w:p>
            <w:pPr>
              <w:numPr>
                <w:ilvl w:val="0"/>
                <w:numId w:val="0"/>
              </w:numPr>
              <w:wordWrap/>
              <w:adjustRightInd/>
              <w:snapToGrid/>
              <w:spacing w:before="0" w:after="0" w:line="560" w:lineRule="exact"/>
              <w:ind w:right="0"/>
              <w:jc w:val="center"/>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46</w:t>
            </w:r>
          </w:p>
        </w:tc>
        <w:tc>
          <w:tcPr>
            <w:tcW w:w="1963" w:type="dxa"/>
            <w:tcBorders>
              <w:top w:val="nil"/>
              <w:left w:val="nil"/>
              <w:bottom w:val="single" w:color="auto" w:sz="4" w:space="0"/>
              <w:right w:val="single" w:color="auto" w:sz="4" w:space="0"/>
            </w:tcBorders>
            <w:tcMar>
              <w:top w:w="15" w:type="dxa"/>
              <w:left w:w="15" w:type="dxa"/>
              <w:right w:w="15" w:type="dxa"/>
            </w:tcMar>
            <w:vAlign w:val="center"/>
          </w:tcPr>
          <w:p>
            <w:pPr>
              <w:numPr>
                <w:ilvl w:val="0"/>
                <w:numId w:val="0"/>
              </w:numPr>
              <w:wordWrap/>
              <w:adjustRightInd/>
              <w:snapToGrid/>
              <w:spacing w:before="0" w:after="0" w:line="560" w:lineRule="exact"/>
              <w:ind w:right="0"/>
              <w:jc w:val="center"/>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 w:hRule="atLeast"/>
          <w:jc w:val="center"/>
        </w:trPr>
        <w:tc>
          <w:tcPr>
            <w:tcW w:w="760" w:type="dxa"/>
            <w:tcBorders>
              <w:top w:val="nil"/>
              <w:left w:val="single" w:color="auto" w:sz="4" w:space="0"/>
              <w:bottom w:val="single" w:color="auto" w:sz="4" w:space="0"/>
              <w:right w:val="single" w:color="auto" w:sz="4" w:space="0"/>
            </w:tcBorders>
            <w:tcMar>
              <w:top w:w="15" w:type="dxa"/>
              <w:left w:w="15" w:type="dxa"/>
              <w:right w:w="15" w:type="dxa"/>
            </w:tcMar>
            <w:vAlign w:val="center"/>
          </w:tcPr>
          <w:p>
            <w:pPr>
              <w:numPr>
                <w:ilvl w:val="0"/>
                <w:numId w:val="0"/>
              </w:numPr>
              <w:wordWrap/>
              <w:adjustRightInd/>
              <w:snapToGrid/>
              <w:spacing w:before="0" w:after="0" w:line="560" w:lineRule="exact"/>
              <w:ind w:right="0"/>
              <w:jc w:val="center"/>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6</w:t>
            </w:r>
          </w:p>
        </w:tc>
        <w:tc>
          <w:tcPr>
            <w:tcW w:w="1917" w:type="dxa"/>
            <w:tcBorders>
              <w:top w:val="nil"/>
              <w:left w:val="nil"/>
              <w:bottom w:val="single" w:color="auto" w:sz="4" w:space="0"/>
              <w:right w:val="single" w:color="auto" w:sz="4" w:space="0"/>
            </w:tcBorders>
            <w:tcMar>
              <w:top w:w="15" w:type="dxa"/>
              <w:left w:w="15" w:type="dxa"/>
              <w:right w:w="15" w:type="dxa"/>
            </w:tcMar>
            <w:vAlign w:val="center"/>
          </w:tcPr>
          <w:p>
            <w:pPr>
              <w:numPr>
                <w:ilvl w:val="0"/>
                <w:numId w:val="0"/>
              </w:numPr>
              <w:wordWrap/>
              <w:adjustRightInd/>
              <w:snapToGrid/>
              <w:spacing w:before="0" w:after="0" w:line="560" w:lineRule="exact"/>
              <w:ind w:right="0"/>
              <w:jc w:val="center"/>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i w:val="0"/>
                <w:color w:val="000000"/>
                <w:kern w:val="2"/>
                <w:sz w:val="32"/>
                <w:szCs w:val="32"/>
                <w:u w:val="none"/>
                <w:lang w:val="en-US" w:eastAsia="zh-CN" w:bidi="ar-SA"/>
              </w:rPr>
              <w:t>招贤乡</w:t>
            </w:r>
          </w:p>
        </w:tc>
        <w:tc>
          <w:tcPr>
            <w:tcW w:w="1917" w:type="dxa"/>
            <w:tcBorders>
              <w:top w:val="nil"/>
              <w:left w:val="nil"/>
              <w:bottom w:val="single" w:color="auto" w:sz="4" w:space="0"/>
              <w:right w:val="single" w:color="auto" w:sz="4" w:space="0"/>
            </w:tcBorders>
            <w:tcMar>
              <w:top w:w="15" w:type="dxa"/>
              <w:left w:w="15" w:type="dxa"/>
              <w:right w:w="15" w:type="dxa"/>
            </w:tcMar>
            <w:vAlign w:val="center"/>
          </w:tcPr>
          <w:p>
            <w:pPr>
              <w:numPr>
                <w:ilvl w:val="0"/>
                <w:numId w:val="0"/>
              </w:numPr>
              <w:wordWrap/>
              <w:adjustRightInd/>
              <w:snapToGrid/>
              <w:spacing w:before="0" w:after="0" w:line="560" w:lineRule="exact"/>
              <w:ind w:right="0"/>
              <w:jc w:val="center"/>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1.4525</w:t>
            </w:r>
          </w:p>
        </w:tc>
        <w:tc>
          <w:tcPr>
            <w:tcW w:w="1963" w:type="dxa"/>
            <w:tcBorders>
              <w:top w:val="nil"/>
              <w:left w:val="nil"/>
              <w:bottom w:val="single" w:color="auto" w:sz="4" w:space="0"/>
              <w:right w:val="single" w:color="auto" w:sz="4" w:space="0"/>
            </w:tcBorders>
            <w:tcMar>
              <w:top w:w="15" w:type="dxa"/>
              <w:left w:w="15" w:type="dxa"/>
              <w:right w:w="15" w:type="dxa"/>
            </w:tcMar>
            <w:vAlign w:val="center"/>
          </w:tcPr>
          <w:p>
            <w:pPr>
              <w:numPr>
                <w:ilvl w:val="0"/>
                <w:numId w:val="0"/>
              </w:numPr>
              <w:wordWrap/>
              <w:adjustRightInd/>
              <w:snapToGrid/>
              <w:spacing w:before="0" w:after="0" w:line="560" w:lineRule="exact"/>
              <w:ind w:right="0"/>
              <w:jc w:val="center"/>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47</w:t>
            </w:r>
          </w:p>
        </w:tc>
        <w:tc>
          <w:tcPr>
            <w:tcW w:w="1963" w:type="dxa"/>
            <w:tcBorders>
              <w:top w:val="nil"/>
              <w:left w:val="nil"/>
              <w:bottom w:val="single" w:color="auto" w:sz="4" w:space="0"/>
              <w:right w:val="single" w:color="auto" w:sz="4" w:space="0"/>
            </w:tcBorders>
            <w:tcMar>
              <w:top w:w="15" w:type="dxa"/>
              <w:left w:w="15" w:type="dxa"/>
              <w:right w:w="15" w:type="dxa"/>
            </w:tcMar>
            <w:vAlign w:val="center"/>
          </w:tcPr>
          <w:p>
            <w:pPr>
              <w:numPr>
                <w:ilvl w:val="0"/>
                <w:numId w:val="0"/>
              </w:numPr>
              <w:wordWrap/>
              <w:adjustRightInd/>
              <w:snapToGrid/>
              <w:spacing w:before="0" w:after="0" w:line="560" w:lineRule="exact"/>
              <w:ind w:right="0"/>
              <w:jc w:val="center"/>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 w:hRule="atLeast"/>
          <w:jc w:val="center"/>
        </w:trPr>
        <w:tc>
          <w:tcPr>
            <w:tcW w:w="760" w:type="dxa"/>
            <w:tcBorders>
              <w:top w:val="nil"/>
              <w:left w:val="single" w:color="auto" w:sz="4" w:space="0"/>
              <w:bottom w:val="single" w:color="auto" w:sz="4" w:space="0"/>
              <w:right w:val="single" w:color="auto" w:sz="4" w:space="0"/>
            </w:tcBorders>
            <w:tcMar>
              <w:top w:w="15" w:type="dxa"/>
              <w:left w:w="15" w:type="dxa"/>
              <w:right w:w="15" w:type="dxa"/>
            </w:tcMar>
            <w:vAlign w:val="center"/>
          </w:tcPr>
          <w:p>
            <w:pPr>
              <w:numPr>
                <w:ilvl w:val="0"/>
                <w:numId w:val="0"/>
              </w:numPr>
              <w:wordWrap/>
              <w:adjustRightInd/>
              <w:snapToGrid/>
              <w:spacing w:before="0" w:after="0" w:line="560" w:lineRule="exact"/>
              <w:ind w:right="0"/>
              <w:jc w:val="center"/>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7</w:t>
            </w:r>
          </w:p>
        </w:tc>
        <w:tc>
          <w:tcPr>
            <w:tcW w:w="1917" w:type="dxa"/>
            <w:tcBorders>
              <w:top w:val="nil"/>
              <w:left w:val="nil"/>
              <w:bottom w:val="single" w:color="auto" w:sz="4" w:space="0"/>
              <w:right w:val="single" w:color="auto"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eastAsia" w:ascii="仿宋_GB2312" w:hAnsi="仿宋_GB2312" w:eastAsia="仿宋_GB2312" w:cs="仿宋_GB2312"/>
                <w:b w:val="0"/>
                <w:bCs w:val="0"/>
                <w:i w:val="0"/>
                <w:color w:val="000000"/>
                <w:kern w:val="2"/>
                <w:sz w:val="32"/>
                <w:szCs w:val="32"/>
                <w:u w:val="none"/>
                <w:lang w:val="en-US" w:eastAsia="zh-CN" w:bidi="ar-SA"/>
              </w:rPr>
            </w:pPr>
            <w:r>
              <w:rPr>
                <w:rFonts w:hint="eastAsia" w:ascii="仿宋_GB2312" w:hAnsi="仿宋_GB2312" w:eastAsia="仿宋_GB2312" w:cs="仿宋_GB2312"/>
                <w:b w:val="0"/>
                <w:bCs w:val="0"/>
                <w:color w:val="000000"/>
                <w:sz w:val="32"/>
                <w:szCs w:val="32"/>
                <w:lang w:val="en-US" w:eastAsia="zh-CN"/>
              </w:rPr>
              <w:t>黄庄镇</w:t>
            </w:r>
          </w:p>
        </w:tc>
        <w:tc>
          <w:tcPr>
            <w:tcW w:w="1917" w:type="dxa"/>
            <w:tcBorders>
              <w:top w:val="nil"/>
              <w:left w:val="nil"/>
              <w:bottom w:val="single" w:color="auto" w:sz="4" w:space="0"/>
              <w:right w:val="single" w:color="auto"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仿宋_GB2312" w:hAnsi="仿宋_GB2312" w:eastAsia="仿宋_GB2312" w:cs="仿宋_GB2312"/>
                <w:b w:val="0"/>
                <w:bCs w:val="0"/>
                <w:i w:val="0"/>
                <w:color w:val="000000"/>
                <w:kern w:val="2"/>
                <w:sz w:val="32"/>
                <w:szCs w:val="32"/>
                <w:u w:val="none"/>
                <w:lang w:val="en-US" w:eastAsia="zh-CN" w:bidi="ar-SA"/>
              </w:rPr>
            </w:pPr>
            <w:r>
              <w:rPr>
                <w:rFonts w:hint="eastAsia" w:ascii="仿宋_GB2312" w:hAnsi="仿宋_GB2312" w:eastAsia="仿宋_GB2312" w:cs="仿宋_GB2312"/>
                <w:b w:val="0"/>
                <w:bCs w:val="0"/>
                <w:i w:val="0"/>
                <w:color w:val="000000"/>
                <w:kern w:val="2"/>
                <w:sz w:val="32"/>
                <w:szCs w:val="32"/>
                <w:u w:val="none"/>
                <w:lang w:val="en-US" w:eastAsia="zh-CN" w:bidi="ar-SA"/>
              </w:rPr>
              <w:t>3.6983</w:t>
            </w:r>
          </w:p>
        </w:tc>
        <w:tc>
          <w:tcPr>
            <w:tcW w:w="1963" w:type="dxa"/>
            <w:tcBorders>
              <w:top w:val="nil"/>
              <w:left w:val="nil"/>
              <w:bottom w:val="single" w:color="auto" w:sz="4" w:space="0"/>
              <w:right w:val="single" w:color="auto" w:sz="4" w:space="0"/>
            </w:tcBorders>
            <w:tcMar>
              <w:top w:w="15" w:type="dxa"/>
              <w:left w:w="15" w:type="dxa"/>
              <w:right w:w="15" w:type="dxa"/>
            </w:tcMar>
            <w:vAlign w:val="center"/>
          </w:tcPr>
          <w:p>
            <w:pPr>
              <w:numPr>
                <w:ilvl w:val="0"/>
                <w:numId w:val="0"/>
              </w:numPr>
              <w:wordWrap/>
              <w:adjustRightInd/>
              <w:snapToGrid/>
              <w:spacing w:before="0" w:after="0" w:line="560" w:lineRule="exact"/>
              <w:ind w:right="0"/>
              <w:jc w:val="center"/>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119</w:t>
            </w:r>
          </w:p>
        </w:tc>
        <w:tc>
          <w:tcPr>
            <w:tcW w:w="1963" w:type="dxa"/>
            <w:tcBorders>
              <w:top w:val="nil"/>
              <w:left w:val="nil"/>
              <w:bottom w:val="single" w:color="auto" w:sz="4" w:space="0"/>
              <w:right w:val="single" w:color="auto" w:sz="4" w:space="0"/>
            </w:tcBorders>
            <w:tcMar>
              <w:top w:w="15" w:type="dxa"/>
              <w:left w:w="15" w:type="dxa"/>
              <w:right w:w="15" w:type="dxa"/>
            </w:tcMar>
            <w:vAlign w:val="center"/>
          </w:tcPr>
          <w:p>
            <w:pPr>
              <w:numPr>
                <w:ilvl w:val="0"/>
                <w:numId w:val="0"/>
              </w:numPr>
              <w:wordWrap/>
              <w:adjustRightInd/>
              <w:snapToGrid/>
              <w:spacing w:before="0" w:after="0" w:line="560" w:lineRule="exact"/>
              <w:ind w:right="0"/>
              <w:jc w:val="center"/>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 w:hRule="atLeast"/>
          <w:jc w:val="center"/>
        </w:trPr>
        <w:tc>
          <w:tcPr>
            <w:tcW w:w="760" w:type="dxa"/>
            <w:tcBorders>
              <w:top w:val="nil"/>
              <w:left w:val="single" w:color="auto" w:sz="4" w:space="0"/>
              <w:bottom w:val="single" w:color="auto" w:sz="4" w:space="0"/>
              <w:right w:val="single" w:color="auto" w:sz="4" w:space="0"/>
            </w:tcBorders>
            <w:tcMar>
              <w:top w:w="15" w:type="dxa"/>
              <w:left w:w="15" w:type="dxa"/>
              <w:right w:w="15" w:type="dxa"/>
            </w:tcMar>
            <w:vAlign w:val="center"/>
          </w:tcPr>
          <w:p>
            <w:pPr>
              <w:numPr>
                <w:ilvl w:val="0"/>
                <w:numId w:val="0"/>
              </w:numPr>
              <w:wordWrap/>
              <w:adjustRightInd/>
              <w:snapToGrid/>
              <w:spacing w:before="0" w:after="0" w:line="560" w:lineRule="exact"/>
              <w:ind w:right="0"/>
              <w:jc w:val="center"/>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8</w:t>
            </w:r>
          </w:p>
        </w:tc>
        <w:tc>
          <w:tcPr>
            <w:tcW w:w="1917" w:type="dxa"/>
            <w:tcBorders>
              <w:top w:val="nil"/>
              <w:left w:val="nil"/>
              <w:bottom w:val="single" w:color="auto" w:sz="4" w:space="0"/>
              <w:right w:val="single" w:color="auto" w:sz="4" w:space="0"/>
            </w:tcBorders>
            <w:tcMar>
              <w:top w:w="15" w:type="dxa"/>
              <w:left w:w="15" w:type="dxa"/>
              <w:right w:w="15" w:type="dxa"/>
            </w:tcMar>
            <w:vAlign w:val="center"/>
          </w:tcPr>
          <w:p>
            <w:pPr>
              <w:numPr>
                <w:ilvl w:val="0"/>
                <w:numId w:val="0"/>
              </w:numPr>
              <w:wordWrap/>
              <w:adjustRightInd/>
              <w:snapToGrid/>
              <w:spacing w:before="0" w:after="0" w:line="560" w:lineRule="exact"/>
              <w:ind w:right="0"/>
              <w:jc w:val="center"/>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武德镇</w:t>
            </w:r>
          </w:p>
        </w:tc>
        <w:tc>
          <w:tcPr>
            <w:tcW w:w="1917" w:type="dxa"/>
            <w:tcBorders>
              <w:top w:val="nil"/>
              <w:left w:val="nil"/>
              <w:bottom w:val="single" w:color="auto" w:sz="4" w:space="0"/>
              <w:right w:val="single" w:color="auto" w:sz="4" w:space="0"/>
            </w:tcBorders>
            <w:tcMar>
              <w:top w:w="15" w:type="dxa"/>
              <w:left w:w="15" w:type="dxa"/>
              <w:right w:w="15" w:type="dxa"/>
            </w:tcMar>
            <w:vAlign w:val="center"/>
          </w:tcPr>
          <w:p>
            <w:pPr>
              <w:numPr>
                <w:ilvl w:val="0"/>
                <w:numId w:val="0"/>
              </w:numPr>
              <w:wordWrap/>
              <w:adjustRightInd/>
              <w:snapToGrid/>
              <w:spacing w:before="0" w:after="0" w:line="560" w:lineRule="exact"/>
              <w:ind w:right="0"/>
              <w:jc w:val="center"/>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3.2014</w:t>
            </w:r>
          </w:p>
        </w:tc>
        <w:tc>
          <w:tcPr>
            <w:tcW w:w="1963" w:type="dxa"/>
            <w:tcBorders>
              <w:top w:val="nil"/>
              <w:left w:val="nil"/>
              <w:bottom w:val="single" w:color="auto" w:sz="4" w:space="0"/>
              <w:right w:val="single" w:color="auto" w:sz="4" w:space="0"/>
            </w:tcBorders>
            <w:tcMar>
              <w:top w:w="15" w:type="dxa"/>
              <w:left w:w="15" w:type="dxa"/>
              <w:right w:w="15" w:type="dxa"/>
            </w:tcMar>
            <w:vAlign w:val="center"/>
          </w:tcPr>
          <w:p>
            <w:pPr>
              <w:numPr>
                <w:ilvl w:val="0"/>
                <w:numId w:val="0"/>
              </w:numPr>
              <w:wordWrap/>
              <w:adjustRightInd/>
              <w:snapToGrid/>
              <w:spacing w:before="0" w:after="0" w:line="560" w:lineRule="exact"/>
              <w:ind w:right="0"/>
              <w:jc w:val="center"/>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103</w:t>
            </w:r>
          </w:p>
        </w:tc>
        <w:tc>
          <w:tcPr>
            <w:tcW w:w="1963" w:type="dxa"/>
            <w:tcBorders>
              <w:top w:val="nil"/>
              <w:left w:val="nil"/>
              <w:bottom w:val="single" w:color="auto" w:sz="4" w:space="0"/>
              <w:right w:val="single" w:color="auto" w:sz="4" w:space="0"/>
            </w:tcBorders>
            <w:tcMar>
              <w:top w:w="15" w:type="dxa"/>
              <w:left w:w="15" w:type="dxa"/>
              <w:right w:w="15" w:type="dxa"/>
            </w:tcMar>
            <w:vAlign w:val="center"/>
          </w:tcPr>
          <w:p>
            <w:pPr>
              <w:numPr>
                <w:ilvl w:val="0"/>
                <w:numId w:val="0"/>
              </w:numPr>
              <w:wordWrap/>
              <w:adjustRightInd/>
              <w:snapToGrid/>
              <w:spacing w:before="0" w:after="0" w:line="560" w:lineRule="exact"/>
              <w:ind w:right="0"/>
              <w:jc w:val="center"/>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 w:hRule="atLeast"/>
          <w:jc w:val="center"/>
        </w:trPr>
        <w:tc>
          <w:tcPr>
            <w:tcW w:w="760" w:type="dxa"/>
            <w:tcBorders>
              <w:top w:val="nil"/>
              <w:left w:val="single" w:color="auto" w:sz="4" w:space="0"/>
              <w:bottom w:val="single" w:color="auto" w:sz="4" w:space="0"/>
              <w:right w:val="single" w:color="auto" w:sz="4" w:space="0"/>
            </w:tcBorders>
            <w:tcMar>
              <w:top w:w="15" w:type="dxa"/>
              <w:left w:w="15" w:type="dxa"/>
              <w:right w:w="15" w:type="dxa"/>
            </w:tcMar>
            <w:vAlign w:val="center"/>
          </w:tcPr>
          <w:p>
            <w:pPr>
              <w:numPr>
                <w:ilvl w:val="0"/>
                <w:numId w:val="0"/>
              </w:numPr>
              <w:wordWrap/>
              <w:adjustRightInd/>
              <w:snapToGrid/>
              <w:spacing w:before="0" w:after="0" w:line="560" w:lineRule="exact"/>
              <w:ind w:right="0"/>
              <w:jc w:val="center"/>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9</w:t>
            </w:r>
          </w:p>
        </w:tc>
        <w:tc>
          <w:tcPr>
            <w:tcW w:w="1917" w:type="dxa"/>
            <w:tcBorders>
              <w:top w:val="nil"/>
              <w:left w:val="nil"/>
              <w:bottom w:val="single" w:color="auto" w:sz="4" w:space="0"/>
              <w:right w:val="single" w:color="auto"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eastAsia" w:ascii="仿宋_GB2312" w:hAnsi="仿宋_GB2312" w:eastAsia="仿宋_GB2312" w:cs="仿宋_GB2312"/>
                <w:b w:val="0"/>
                <w:bCs w:val="0"/>
                <w:i w:val="0"/>
                <w:color w:val="000000"/>
                <w:kern w:val="2"/>
                <w:sz w:val="32"/>
                <w:szCs w:val="32"/>
                <w:u w:val="none"/>
                <w:lang w:val="en-US" w:eastAsia="zh-CN" w:bidi="ar-SA"/>
              </w:rPr>
            </w:pPr>
            <w:r>
              <w:rPr>
                <w:rFonts w:hint="eastAsia" w:ascii="仿宋_GB2312" w:hAnsi="仿宋_GB2312" w:eastAsia="仿宋_GB2312" w:cs="仿宋_GB2312"/>
                <w:b w:val="0"/>
                <w:bCs w:val="0"/>
                <w:i w:val="0"/>
                <w:color w:val="000000"/>
                <w:kern w:val="2"/>
                <w:sz w:val="32"/>
                <w:szCs w:val="32"/>
                <w:u w:val="none"/>
                <w:lang w:val="en-US" w:eastAsia="zh-CN" w:bidi="ar-SA"/>
              </w:rPr>
              <w:t>番田镇</w:t>
            </w:r>
          </w:p>
        </w:tc>
        <w:tc>
          <w:tcPr>
            <w:tcW w:w="1917" w:type="dxa"/>
            <w:tcBorders>
              <w:top w:val="nil"/>
              <w:left w:val="nil"/>
              <w:bottom w:val="single" w:color="auto" w:sz="4" w:space="0"/>
              <w:right w:val="single" w:color="auto"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仿宋_GB2312" w:hAnsi="仿宋_GB2312" w:eastAsia="仿宋_GB2312" w:cs="仿宋_GB2312"/>
                <w:b w:val="0"/>
                <w:bCs w:val="0"/>
                <w:i w:val="0"/>
                <w:color w:val="000000"/>
                <w:kern w:val="2"/>
                <w:sz w:val="32"/>
                <w:szCs w:val="32"/>
                <w:u w:val="none"/>
                <w:lang w:val="en-US" w:eastAsia="zh-CN" w:bidi="ar-SA"/>
              </w:rPr>
            </w:pPr>
            <w:r>
              <w:rPr>
                <w:rFonts w:hint="eastAsia" w:ascii="仿宋_GB2312" w:hAnsi="仿宋_GB2312" w:eastAsia="仿宋_GB2312" w:cs="仿宋_GB2312"/>
                <w:b w:val="0"/>
                <w:bCs w:val="0"/>
                <w:i w:val="0"/>
                <w:color w:val="000000"/>
                <w:kern w:val="2"/>
                <w:sz w:val="32"/>
                <w:szCs w:val="32"/>
                <w:u w:val="none"/>
                <w:lang w:val="en-US" w:eastAsia="zh-CN" w:bidi="ar-SA"/>
              </w:rPr>
              <w:t>2.8606</w:t>
            </w:r>
          </w:p>
        </w:tc>
        <w:tc>
          <w:tcPr>
            <w:tcW w:w="1963" w:type="dxa"/>
            <w:tcBorders>
              <w:top w:val="nil"/>
              <w:left w:val="nil"/>
              <w:bottom w:val="single" w:color="auto" w:sz="4" w:space="0"/>
              <w:right w:val="single" w:color="auto" w:sz="4" w:space="0"/>
            </w:tcBorders>
            <w:tcMar>
              <w:top w:w="15" w:type="dxa"/>
              <w:left w:w="15" w:type="dxa"/>
              <w:right w:w="15" w:type="dxa"/>
            </w:tcMar>
            <w:vAlign w:val="center"/>
          </w:tcPr>
          <w:p>
            <w:pPr>
              <w:numPr>
                <w:ilvl w:val="0"/>
                <w:numId w:val="0"/>
              </w:numPr>
              <w:wordWrap/>
              <w:adjustRightInd/>
              <w:snapToGrid/>
              <w:spacing w:before="0" w:after="0" w:line="560" w:lineRule="exact"/>
              <w:ind w:right="0"/>
              <w:jc w:val="center"/>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92</w:t>
            </w:r>
          </w:p>
        </w:tc>
        <w:tc>
          <w:tcPr>
            <w:tcW w:w="1963" w:type="dxa"/>
            <w:tcBorders>
              <w:top w:val="nil"/>
              <w:left w:val="nil"/>
              <w:bottom w:val="single" w:color="auto" w:sz="4" w:space="0"/>
              <w:right w:val="single" w:color="auto" w:sz="4" w:space="0"/>
            </w:tcBorders>
            <w:tcMar>
              <w:top w:w="15" w:type="dxa"/>
              <w:left w:w="15" w:type="dxa"/>
              <w:right w:w="15" w:type="dxa"/>
            </w:tcMar>
            <w:vAlign w:val="center"/>
          </w:tcPr>
          <w:p>
            <w:pPr>
              <w:numPr>
                <w:ilvl w:val="0"/>
                <w:numId w:val="0"/>
              </w:numPr>
              <w:wordWrap/>
              <w:adjustRightInd/>
              <w:snapToGrid/>
              <w:spacing w:before="0" w:after="0" w:line="560" w:lineRule="exact"/>
              <w:ind w:right="0"/>
              <w:jc w:val="center"/>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 w:hRule="atLeast"/>
          <w:jc w:val="center"/>
        </w:trPr>
        <w:tc>
          <w:tcPr>
            <w:tcW w:w="760" w:type="dxa"/>
            <w:tcBorders>
              <w:top w:val="nil"/>
              <w:left w:val="single" w:color="auto" w:sz="4" w:space="0"/>
              <w:bottom w:val="single" w:color="auto" w:sz="4" w:space="0"/>
              <w:right w:val="single" w:color="auto" w:sz="4" w:space="0"/>
            </w:tcBorders>
            <w:tcMar>
              <w:top w:w="15" w:type="dxa"/>
              <w:left w:w="15" w:type="dxa"/>
              <w:right w:w="15" w:type="dxa"/>
            </w:tcMar>
            <w:vAlign w:val="center"/>
          </w:tcPr>
          <w:p>
            <w:pPr>
              <w:numPr>
                <w:ilvl w:val="0"/>
                <w:numId w:val="0"/>
              </w:numPr>
              <w:wordWrap/>
              <w:adjustRightInd/>
              <w:snapToGrid/>
              <w:spacing w:before="0" w:after="0" w:line="560" w:lineRule="exact"/>
              <w:ind w:right="0"/>
              <w:jc w:val="center"/>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10</w:t>
            </w:r>
          </w:p>
        </w:tc>
        <w:tc>
          <w:tcPr>
            <w:tcW w:w="1917" w:type="dxa"/>
            <w:tcBorders>
              <w:top w:val="nil"/>
              <w:left w:val="nil"/>
              <w:bottom w:val="single" w:color="auto" w:sz="4" w:space="0"/>
              <w:right w:val="single" w:color="auto" w:sz="4" w:space="0"/>
            </w:tcBorders>
            <w:tcMar>
              <w:top w:w="15" w:type="dxa"/>
              <w:left w:w="15" w:type="dxa"/>
              <w:right w:w="15" w:type="dxa"/>
            </w:tcMar>
            <w:vAlign w:val="center"/>
          </w:tcPr>
          <w:p>
            <w:pPr>
              <w:numPr>
                <w:ilvl w:val="0"/>
                <w:numId w:val="0"/>
              </w:numPr>
              <w:wordWrap/>
              <w:adjustRightInd/>
              <w:snapToGrid/>
              <w:spacing w:before="0" w:after="0" w:line="560" w:lineRule="exact"/>
              <w:ind w:right="0"/>
              <w:jc w:val="center"/>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祥云镇</w:t>
            </w:r>
          </w:p>
        </w:tc>
        <w:tc>
          <w:tcPr>
            <w:tcW w:w="1917" w:type="dxa"/>
            <w:tcBorders>
              <w:top w:val="nil"/>
              <w:left w:val="nil"/>
              <w:bottom w:val="single" w:color="auto" w:sz="4" w:space="0"/>
              <w:right w:val="single" w:color="auto" w:sz="4" w:space="0"/>
            </w:tcBorders>
            <w:tcMar>
              <w:top w:w="15" w:type="dxa"/>
              <w:left w:w="15" w:type="dxa"/>
              <w:right w:w="15" w:type="dxa"/>
            </w:tcMar>
            <w:vAlign w:val="center"/>
          </w:tcPr>
          <w:p>
            <w:pPr>
              <w:numPr>
                <w:ilvl w:val="0"/>
                <w:numId w:val="0"/>
              </w:numPr>
              <w:wordWrap/>
              <w:adjustRightInd/>
              <w:snapToGrid/>
              <w:spacing w:before="0" w:after="0" w:line="560" w:lineRule="exact"/>
              <w:ind w:right="0"/>
              <w:jc w:val="center"/>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i w:val="0"/>
                <w:color w:val="000000"/>
                <w:kern w:val="2"/>
                <w:sz w:val="32"/>
                <w:szCs w:val="32"/>
                <w:u w:val="none"/>
                <w:lang w:val="en-US" w:eastAsia="zh-CN" w:bidi="ar-SA"/>
              </w:rPr>
              <w:t>3.3036</w:t>
            </w:r>
          </w:p>
        </w:tc>
        <w:tc>
          <w:tcPr>
            <w:tcW w:w="1963" w:type="dxa"/>
            <w:tcBorders>
              <w:top w:val="nil"/>
              <w:left w:val="nil"/>
              <w:bottom w:val="single" w:color="auto" w:sz="4" w:space="0"/>
              <w:right w:val="single" w:color="auto" w:sz="4" w:space="0"/>
            </w:tcBorders>
            <w:tcMar>
              <w:top w:w="15" w:type="dxa"/>
              <w:left w:w="15" w:type="dxa"/>
              <w:right w:w="15" w:type="dxa"/>
            </w:tcMar>
            <w:vAlign w:val="center"/>
          </w:tcPr>
          <w:p>
            <w:pPr>
              <w:numPr>
                <w:ilvl w:val="0"/>
                <w:numId w:val="0"/>
              </w:numPr>
              <w:wordWrap/>
              <w:adjustRightInd/>
              <w:snapToGrid/>
              <w:spacing w:before="0" w:after="0" w:line="560" w:lineRule="exact"/>
              <w:ind w:right="0"/>
              <w:jc w:val="center"/>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106</w:t>
            </w:r>
          </w:p>
        </w:tc>
        <w:tc>
          <w:tcPr>
            <w:tcW w:w="1963" w:type="dxa"/>
            <w:tcBorders>
              <w:top w:val="nil"/>
              <w:left w:val="nil"/>
              <w:bottom w:val="single" w:color="auto" w:sz="4" w:space="0"/>
              <w:right w:val="single" w:color="auto" w:sz="4" w:space="0"/>
            </w:tcBorders>
            <w:tcMar>
              <w:top w:w="15" w:type="dxa"/>
              <w:left w:w="15" w:type="dxa"/>
              <w:right w:w="15" w:type="dxa"/>
            </w:tcMar>
            <w:vAlign w:val="center"/>
          </w:tcPr>
          <w:p>
            <w:pPr>
              <w:numPr>
                <w:ilvl w:val="0"/>
                <w:numId w:val="0"/>
              </w:numPr>
              <w:wordWrap/>
              <w:adjustRightInd/>
              <w:snapToGrid/>
              <w:spacing w:before="0" w:after="0" w:line="560" w:lineRule="exact"/>
              <w:ind w:right="0"/>
              <w:jc w:val="center"/>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 w:hRule="atLeast"/>
          <w:jc w:val="center"/>
        </w:trPr>
        <w:tc>
          <w:tcPr>
            <w:tcW w:w="760" w:type="dxa"/>
            <w:tcBorders>
              <w:top w:val="nil"/>
              <w:left w:val="single" w:color="auto" w:sz="4" w:space="0"/>
              <w:bottom w:val="single" w:color="auto" w:sz="4" w:space="0"/>
              <w:right w:val="single" w:color="auto" w:sz="4" w:space="0"/>
            </w:tcBorders>
            <w:tcMar>
              <w:top w:w="15" w:type="dxa"/>
              <w:left w:w="15" w:type="dxa"/>
              <w:right w:w="15" w:type="dxa"/>
            </w:tcMar>
            <w:vAlign w:val="center"/>
          </w:tcPr>
          <w:p>
            <w:pPr>
              <w:numPr>
                <w:ilvl w:val="0"/>
                <w:numId w:val="0"/>
              </w:numPr>
              <w:wordWrap/>
              <w:adjustRightInd/>
              <w:snapToGrid/>
              <w:spacing w:before="0" w:after="0" w:line="560" w:lineRule="exact"/>
              <w:ind w:right="0"/>
              <w:jc w:val="center"/>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11</w:t>
            </w:r>
          </w:p>
        </w:tc>
        <w:tc>
          <w:tcPr>
            <w:tcW w:w="1917" w:type="dxa"/>
            <w:tcBorders>
              <w:top w:val="nil"/>
              <w:left w:val="nil"/>
              <w:bottom w:val="single" w:color="auto" w:sz="4" w:space="0"/>
              <w:right w:val="single" w:color="auto" w:sz="4" w:space="0"/>
            </w:tcBorders>
            <w:tcMar>
              <w:top w:w="15" w:type="dxa"/>
              <w:left w:w="15" w:type="dxa"/>
              <w:right w:w="15" w:type="dxa"/>
            </w:tcMar>
            <w:vAlign w:val="center"/>
          </w:tcPr>
          <w:p>
            <w:pPr>
              <w:widowControl/>
              <w:wordWrap/>
              <w:adjustRightInd/>
              <w:snapToGrid/>
              <w:spacing w:before="0" w:after="0" w:line="560" w:lineRule="exact"/>
              <w:ind w:right="0"/>
              <w:jc w:val="both"/>
              <w:textAlignment w:val="center"/>
              <w:rPr>
                <w:rFonts w:hint="eastAsia" w:ascii="仿宋_GB2312" w:hAnsi="仿宋_GB2312" w:eastAsia="仿宋_GB2312" w:cs="仿宋_GB2312"/>
                <w:b w:val="0"/>
                <w:bCs w:val="0"/>
                <w:i w:val="0"/>
                <w:color w:val="000000"/>
                <w:kern w:val="2"/>
                <w:sz w:val="32"/>
                <w:szCs w:val="32"/>
                <w:u w:val="none"/>
                <w:lang w:val="en-US" w:eastAsia="zh-CN" w:bidi="ar-SA"/>
              </w:rPr>
            </w:pPr>
            <w:r>
              <w:rPr>
                <w:rFonts w:hint="eastAsia" w:ascii="仿宋_GB2312" w:hAnsi="仿宋_GB2312" w:eastAsia="仿宋_GB2312" w:cs="仿宋_GB2312"/>
                <w:b w:val="0"/>
                <w:bCs w:val="0"/>
                <w:i w:val="0"/>
                <w:color w:val="000000"/>
                <w:kern w:val="2"/>
                <w:sz w:val="32"/>
                <w:szCs w:val="32"/>
                <w:u w:val="none"/>
                <w:lang w:val="en-US" w:eastAsia="zh-CN" w:bidi="ar-SA"/>
              </w:rPr>
              <w:t xml:space="preserve">   赵堡镇</w:t>
            </w:r>
          </w:p>
        </w:tc>
        <w:tc>
          <w:tcPr>
            <w:tcW w:w="1917" w:type="dxa"/>
            <w:tcBorders>
              <w:top w:val="nil"/>
              <w:left w:val="nil"/>
              <w:bottom w:val="single" w:color="auto" w:sz="4" w:space="0"/>
              <w:right w:val="single" w:color="auto" w:sz="4" w:space="0"/>
            </w:tcBorders>
            <w:tcMar>
              <w:top w:w="15" w:type="dxa"/>
              <w:left w:w="15" w:type="dxa"/>
              <w:right w:w="15" w:type="dxa"/>
            </w:tcMar>
            <w:vAlign w:val="top"/>
          </w:tcPr>
          <w:p>
            <w:pPr>
              <w:widowControl/>
              <w:wordWrap/>
              <w:adjustRightInd/>
              <w:snapToGrid/>
              <w:spacing w:before="0" w:after="0" w:line="560" w:lineRule="exact"/>
              <w:ind w:right="0"/>
              <w:jc w:val="center"/>
              <w:textAlignment w:val="center"/>
              <w:rPr>
                <w:rFonts w:hint="default" w:ascii="仿宋_GB2312" w:hAnsi="仿宋_GB2312" w:eastAsia="仿宋_GB2312" w:cs="仿宋_GB2312"/>
                <w:b w:val="0"/>
                <w:bCs w:val="0"/>
                <w:i w:val="0"/>
                <w:color w:val="000000"/>
                <w:kern w:val="2"/>
                <w:sz w:val="32"/>
                <w:szCs w:val="32"/>
                <w:u w:val="none"/>
                <w:lang w:val="en-US" w:eastAsia="zh-CN" w:bidi="ar-SA"/>
              </w:rPr>
            </w:pPr>
            <w:r>
              <w:rPr>
                <w:rFonts w:hint="eastAsia" w:ascii="仿宋_GB2312" w:hAnsi="仿宋_GB2312" w:eastAsia="仿宋_GB2312" w:cs="仿宋_GB2312"/>
                <w:b w:val="0"/>
                <w:bCs w:val="0"/>
                <w:i w:val="0"/>
                <w:color w:val="000000"/>
                <w:kern w:val="2"/>
                <w:sz w:val="32"/>
                <w:szCs w:val="32"/>
                <w:u w:val="none"/>
                <w:lang w:val="en-US" w:eastAsia="zh-CN" w:bidi="ar-SA"/>
              </w:rPr>
              <w:t>3.3270</w:t>
            </w:r>
          </w:p>
        </w:tc>
        <w:tc>
          <w:tcPr>
            <w:tcW w:w="1963" w:type="dxa"/>
            <w:tcBorders>
              <w:top w:val="nil"/>
              <w:left w:val="nil"/>
              <w:bottom w:val="single" w:color="auto" w:sz="4" w:space="0"/>
              <w:right w:val="single" w:color="auto" w:sz="4" w:space="0"/>
            </w:tcBorders>
            <w:tcMar>
              <w:top w:w="15" w:type="dxa"/>
              <w:left w:w="15" w:type="dxa"/>
              <w:right w:w="15" w:type="dxa"/>
            </w:tcMar>
            <w:vAlign w:val="center"/>
          </w:tcPr>
          <w:p>
            <w:pPr>
              <w:numPr>
                <w:ilvl w:val="0"/>
                <w:numId w:val="0"/>
              </w:numPr>
              <w:wordWrap/>
              <w:adjustRightInd/>
              <w:snapToGrid/>
              <w:spacing w:before="0" w:after="0" w:line="560" w:lineRule="exact"/>
              <w:ind w:right="0"/>
              <w:jc w:val="center"/>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107</w:t>
            </w:r>
          </w:p>
        </w:tc>
        <w:tc>
          <w:tcPr>
            <w:tcW w:w="1963" w:type="dxa"/>
            <w:tcBorders>
              <w:top w:val="nil"/>
              <w:left w:val="nil"/>
              <w:bottom w:val="single" w:color="auto" w:sz="4" w:space="0"/>
              <w:right w:val="single" w:color="auto" w:sz="4" w:space="0"/>
            </w:tcBorders>
            <w:tcMar>
              <w:top w:w="15" w:type="dxa"/>
              <w:left w:w="15" w:type="dxa"/>
              <w:right w:w="15" w:type="dxa"/>
            </w:tcMar>
            <w:vAlign w:val="center"/>
          </w:tcPr>
          <w:p>
            <w:pPr>
              <w:numPr>
                <w:ilvl w:val="0"/>
                <w:numId w:val="0"/>
              </w:numPr>
              <w:wordWrap/>
              <w:adjustRightInd/>
              <w:snapToGrid/>
              <w:spacing w:before="0" w:after="0" w:line="560" w:lineRule="exact"/>
              <w:ind w:right="0"/>
              <w:jc w:val="center"/>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 w:hRule="atLeast"/>
          <w:jc w:val="center"/>
        </w:trPr>
        <w:tc>
          <w:tcPr>
            <w:tcW w:w="2677"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numPr>
                <w:ilvl w:val="0"/>
                <w:numId w:val="0"/>
              </w:numPr>
              <w:wordWrap/>
              <w:adjustRightInd/>
              <w:snapToGrid/>
              <w:spacing w:before="0" w:after="0" w:line="560" w:lineRule="exact"/>
              <w:ind w:right="0"/>
              <w:jc w:val="center"/>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合计</w:t>
            </w:r>
          </w:p>
        </w:tc>
        <w:tc>
          <w:tcPr>
            <w:tcW w:w="1917" w:type="dxa"/>
            <w:tcBorders>
              <w:top w:val="nil"/>
              <w:left w:val="nil"/>
              <w:bottom w:val="single" w:color="auto" w:sz="4" w:space="0"/>
              <w:right w:val="single" w:color="auto" w:sz="4" w:space="0"/>
            </w:tcBorders>
            <w:tcMar>
              <w:top w:w="15" w:type="dxa"/>
              <w:left w:w="15" w:type="dxa"/>
              <w:right w:w="15" w:type="dxa"/>
            </w:tcMar>
            <w:vAlign w:val="center"/>
          </w:tcPr>
          <w:p>
            <w:pPr>
              <w:numPr>
                <w:ilvl w:val="0"/>
                <w:numId w:val="0"/>
              </w:numPr>
              <w:wordWrap/>
              <w:adjustRightInd/>
              <w:snapToGrid/>
              <w:spacing w:before="0" w:after="0" w:line="560" w:lineRule="exact"/>
              <w:ind w:right="0"/>
              <w:jc w:val="center"/>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39.3838</w:t>
            </w:r>
          </w:p>
        </w:tc>
        <w:tc>
          <w:tcPr>
            <w:tcW w:w="1963" w:type="dxa"/>
            <w:tcBorders>
              <w:top w:val="nil"/>
              <w:left w:val="nil"/>
              <w:bottom w:val="single" w:color="auto" w:sz="4" w:space="0"/>
              <w:right w:val="single" w:color="auto" w:sz="4" w:space="0"/>
            </w:tcBorders>
            <w:tcMar>
              <w:top w:w="15" w:type="dxa"/>
              <w:left w:w="15" w:type="dxa"/>
              <w:right w:w="15" w:type="dxa"/>
            </w:tcMar>
            <w:vAlign w:val="center"/>
          </w:tcPr>
          <w:p>
            <w:pPr>
              <w:numPr>
                <w:ilvl w:val="0"/>
                <w:numId w:val="0"/>
              </w:numPr>
              <w:wordWrap/>
              <w:adjustRightInd/>
              <w:snapToGrid/>
              <w:spacing w:before="0" w:after="0" w:line="560" w:lineRule="exact"/>
              <w:ind w:right="0"/>
              <w:jc w:val="center"/>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1268</w:t>
            </w:r>
          </w:p>
        </w:tc>
        <w:tc>
          <w:tcPr>
            <w:tcW w:w="1963" w:type="dxa"/>
            <w:tcBorders>
              <w:top w:val="nil"/>
              <w:left w:val="nil"/>
              <w:bottom w:val="single" w:color="auto" w:sz="4" w:space="0"/>
              <w:right w:val="single" w:color="auto" w:sz="4" w:space="0"/>
            </w:tcBorders>
            <w:tcMar>
              <w:top w:w="15" w:type="dxa"/>
              <w:left w:w="15" w:type="dxa"/>
              <w:right w:w="15" w:type="dxa"/>
            </w:tcMar>
            <w:vAlign w:val="center"/>
          </w:tcPr>
          <w:p>
            <w:pPr>
              <w:numPr>
                <w:ilvl w:val="0"/>
                <w:numId w:val="0"/>
              </w:numPr>
              <w:wordWrap/>
              <w:adjustRightInd/>
              <w:snapToGrid/>
              <w:spacing w:before="0" w:after="0" w:line="560" w:lineRule="exact"/>
              <w:ind w:left="0" w:leftChars="0" w:right="0" w:firstLine="0" w:firstLineChars="0"/>
              <w:jc w:val="center"/>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792</w:t>
            </w:r>
          </w:p>
        </w:tc>
      </w:tr>
    </w:tbl>
    <w:p>
      <w:pPr>
        <w:numPr>
          <w:ilvl w:val="0"/>
          <w:numId w:val="0"/>
        </w:numPr>
        <w:wordWrap/>
        <w:adjustRightInd/>
        <w:snapToGrid/>
        <w:spacing w:before="0" w:after="0" w:line="560" w:lineRule="exact"/>
        <w:ind w:right="0"/>
        <w:jc w:val="left"/>
        <w:rPr>
          <w:rFonts w:hint="eastAsia" w:ascii="仿宋" w:hAnsi="仿宋" w:eastAsia="仿宋" w:cs="仿宋"/>
          <w:sz w:val="32"/>
          <w:szCs w:val="32"/>
          <w:lang w:val="en-US" w:eastAsia="zh-CN"/>
        </w:rPr>
      </w:pPr>
      <w:r>
        <w:rPr>
          <w:rFonts w:hint="eastAsia" w:ascii="Times New Roman" w:hAnsi="Times New Roman" w:eastAsia="仿宋" w:cs="Times New Roman"/>
          <w:b w:val="0"/>
          <w:bCs w:val="0"/>
          <w:color w:val="000000"/>
          <w:sz w:val="28"/>
          <w:szCs w:val="36"/>
          <w:lang w:val="en-US" w:eastAsia="zh-CN"/>
        </w:rPr>
        <w:t>注：县区人口数依据2021年人口普查数据；监督抽检任务数按照每千人3.22计算；</w:t>
      </w:r>
      <w:r>
        <w:rPr>
          <w:rFonts w:hint="eastAsia" w:ascii="仿宋" w:hAnsi="仿宋" w:eastAsia="仿宋" w:cs="仿宋"/>
          <w:sz w:val="28"/>
          <w:szCs w:val="28"/>
          <w:lang w:eastAsia="zh-CN"/>
        </w:rPr>
        <w:t>快检抽检任务数按照</w:t>
      </w:r>
      <w:r>
        <w:rPr>
          <w:rFonts w:hint="eastAsia" w:ascii="仿宋" w:hAnsi="仿宋" w:eastAsia="仿宋" w:cs="仿宋"/>
          <w:sz w:val="28"/>
          <w:szCs w:val="28"/>
          <w:lang w:val="en-US" w:eastAsia="zh-CN"/>
        </w:rPr>
        <w:t>2批次</w:t>
      </w:r>
      <w:r>
        <w:rPr>
          <w:rFonts w:hint="eastAsia" w:ascii="仿宋" w:hAnsi="仿宋" w:eastAsia="仿宋" w:cs="仿宋"/>
          <w:sz w:val="28"/>
          <w:szCs w:val="28"/>
        </w:rPr>
        <w:t>/千人</w:t>
      </w:r>
      <w:r>
        <w:rPr>
          <w:rFonts w:hint="eastAsia" w:ascii="仿宋" w:hAnsi="仿宋" w:eastAsia="仿宋" w:cs="仿宋"/>
          <w:sz w:val="28"/>
          <w:szCs w:val="28"/>
          <w:lang w:eastAsia="zh-CN"/>
        </w:rPr>
        <w:t>计算。</w:t>
      </w:r>
    </w:p>
    <w:p>
      <w:pPr>
        <w:widowControl w:val="0"/>
        <w:wordWrap/>
        <w:adjustRightInd/>
        <w:snapToGrid/>
        <w:spacing w:before="0" w:after="0" w:line="560" w:lineRule="exact"/>
        <w:ind w:right="0"/>
        <w:jc w:val="both"/>
        <w:textAlignment w:val="auto"/>
        <w:rPr>
          <w:rFonts w:hint="eastAsia" w:ascii="方正小标宋简体" w:hAnsi="方正小标宋简体" w:eastAsia="方正小标宋简体" w:cs="方正小标宋简体"/>
          <w:sz w:val="44"/>
          <w:szCs w:val="44"/>
          <w:lang w:val="en-US" w:eastAsia="zh-CN"/>
        </w:rPr>
        <w:sectPr>
          <w:headerReference r:id="rId3" w:type="default"/>
          <w:footerReference r:id="rId4" w:type="default"/>
          <w:pgSz w:w="11906" w:h="16838"/>
          <w:pgMar w:top="1440" w:right="1800" w:bottom="1440" w:left="1800" w:header="851" w:footer="992" w:gutter="0"/>
          <w:pgNumType w:fmt="numberInDash"/>
          <w:cols w:space="720" w:num="1"/>
          <w:docGrid w:type="lines" w:linePitch="312" w:charSpace="0"/>
        </w:sectPr>
      </w:pPr>
    </w:p>
    <w:p>
      <w:pPr>
        <w:pStyle w:val="4"/>
        <w:wordWrap/>
        <w:adjustRightInd/>
        <w:snapToGrid/>
        <w:spacing w:before="0" w:after="0" w:line="560" w:lineRule="exact"/>
        <w:ind w:left="10" w:right="0"/>
        <w:rPr>
          <w:rFonts w:hint="eastAsia" w:ascii="黑体" w:hAnsi="黑体" w:eastAsia="黑体" w:cs="黑体"/>
        </w:rPr>
      </w:pPr>
      <w:r>
        <w:rPr>
          <w:rFonts w:hint="eastAsia" w:ascii="黑体" w:hAnsi="黑体" w:eastAsia="黑体" w:cs="黑体"/>
        </w:rPr>
        <w:t xml:space="preserve">附件2 </w:t>
      </w:r>
    </w:p>
    <w:p>
      <w:pPr>
        <w:pStyle w:val="4"/>
        <w:wordWrap/>
        <w:adjustRightInd/>
        <w:snapToGrid/>
        <w:spacing w:before="0" w:after="0" w:line="560" w:lineRule="exact"/>
        <w:ind w:left="10" w:right="0"/>
        <w:jc w:val="center"/>
        <w:rPr>
          <w:rFonts w:hint="eastAsia" w:ascii="方正小标宋简体" w:hAnsi="方正小标宋简体" w:eastAsia="方正小标宋简体" w:cs="方正小标宋简体"/>
          <w:sz w:val="40"/>
          <w:szCs w:val="28"/>
          <w:lang w:val="en-US" w:eastAsia="zh-CN"/>
        </w:rPr>
      </w:pPr>
      <w:r>
        <w:rPr>
          <w:rFonts w:hint="eastAsia" w:ascii="方正小标宋简体" w:hAnsi="方正小标宋简体" w:eastAsia="方正小标宋简体" w:cs="方正小标宋简体"/>
          <w:sz w:val="40"/>
          <w:szCs w:val="28"/>
          <w:lang w:val="en-US" w:eastAsia="zh-CN"/>
        </w:rPr>
        <w:t>河南省2022年省级食品安全抽检计划</w:t>
      </w:r>
    </w:p>
    <w:tbl>
      <w:tblPr>
        <w:tblStyle w:val="7"/>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24"/>
        <w:gridCol w:w="924"/>
        <w:gridCol w:w="924"/>
        <w:gridCol w:w="924"/>
        <w:gridCol w:w="924"/>
        <w:gridCol w:w="924"/>
        <w:gridCol w:w="84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rPr>
              <w:t>序号</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rPr>
              <w:t>食品大类（一级）</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rPr>
              <w:t>食品亚类（二级）</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rPr>
              <w:t>食品品种（三级）</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rPr>
              <w:t>食品细类（四级）</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rPr>
              <w:t>风险等级</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rPr>
              <w:t>检验项目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1</w:t>
            </w: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粮食加工品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大米</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大米</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大米</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较高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铅（以Pb计）、镉（以Cd计）、黄曲霉毒素B</w:t>
            </w:r>
            <w:r>
              <w:rPr>
                <w:rFonts w:hint="default" w:ascii="Times New Roman" w:hAnsi="Times New Roman" w:eastAsia="仿宋" w:cs="Times New Roman"/>
                <w:i w:val="0"/>
                <w:color w:val="000000"/>
                <w:kern w:val="0"/>
                <w:sz w:val="22"/>
                <w:szCs w:val="22"/>
                <w:u w:val="none"/>
                <w:vertAlign w:val="subscript"/>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小麦粉</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小麦粉</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小麦粉</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较高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镉（以Cd计）、苯并[a]芘、玉米赤霉烯酮、脱氧雪腐镰刀菌烯醇、赭曲霉毒素A、黄曲霉毒素B</w:t>
            </w:r>
            <w:r>
              <w:rPr>
                <w:rFonts w:hint="default" w:ascii="Times New Roman" w:hAnsi="Times New Roman" w:eastAsia="仿宋" w:cs="Times New Roman"/>
                <w:i w:val="0"/>
                <w:color w:val="000000"/>
                <w:kern w:val="0"/>
                <w:sz w:val="22"/>
                <w:szCs w:val="22"/>
                <w:u w:val="none"/>
                <w:vertAlign w:val="subscript"/>
                <w:lang w:val="en-US" w:eastAsia="zh-CN"/>
              </w:rPr>
              <w:t>1</w:t>
            </w:r>
            <w:r>
              <w:rPr>
                <w:rFonts w:hint="default" w:ascii="Times New Roman" w:hAnsi="Times New Roman" w:eastAsia="仿宋" w:cs="Times New Roman"/>
                <w:i w:val="0"/>
                <w:color w:val="000000"/>
                <w:kern w:val="0"/>
                <w:sz w:val="22"/>
                <w:szCs w:val="22"/>
                <w:u w:val="none"/>
                <w:lang w:val="en-US" w:eastAsia="zh-CN"/>
              </w:rPr>
              <w:t>、过氧化苯甲酰、偶氮甲酰胺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挂面</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挂面</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挂面</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一般</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铅（以Pb计）、脱氢乙酸及其钠盐（以脱氢乙酸计）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其他粮食加工品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谷物加工品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谷物加工品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一般</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铅（以Pb计）、镉（以Cd计）、黄曲霉毒素B</w:t>
            </w:r>
            <w:r>
              <w:rPr>
                <w:rFonts w:hint="default" w:ascii="Times New Roman" w:hAnsi="Times New Roman" w:eastAsia="仿宋" w:cs="Times New Roman"/>
                <w:i w:val="0"/>
                <w:color w:val="000000"/>
                <w:kern w:val="0"/>
                <w:sz w:val="22"/>
                <w:szCs w:val="22"/>
                <w:u w:val="none"/>
                <w:vertAlign w:val="subscript"/>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谷物碾磨加工品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玉米粉（片、渣）</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较高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黄曲霉毒素B</w:t>
            </w:r>
            <w:r>
              <w:rPr>
                <w:rStyle w:val="10"/>
                <w:rFonts w:hint="default" w:ascii="Times New Roman" w:hAnsi="Times New Roman" w:eastAsia="仿宋" w:cs="Times New Roman"/>
                <w:sz w:val="22"/>
                <w:szCs w:val="22"/>
                <w:lang w:val="en-US" w:eastAsia="zh-CN"/>
              </w:rPr>
              <w:t>1</w:t>
            </w:r>
            <w:r>
              <w:rPr>
                <w:rStyle w:val="11"/>
                <w:rFonts w:hint="default" w:ascii="Times New Roman" w:hAnsi="Times New Roman" w:eastAsia="仿宋" w:cs="Times New Roman"/>
                <w:sz w:val="22"/>
                <w:szCs w:val="22"/>
                <w:lang w:val="en-US" w:eastAsia="zh-CN"/>
              </w:rPr>
              <w:t>、赭曲霉毒素A、玉米赤霉烯酮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米粉</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较高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铅（以Pb计）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其他谷物碾磨加工品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较高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铅（以Pb计）、铬（以Cr计）、赭曲霉毒素A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谷物粉类制成品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生湿面制品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较高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铅（以Pb计）、苯甲酸及其钠盐（以苯甲酸计）、山梨酸及其钾盐（以山梨酸计）、脱氢乙酸及其钠盐（以脱氢乙酸计）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发酵面制品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较高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苯甲酸及其钠盐（以苯甲酸计）、山梨酸及其钾盐（以山梨酸计）、脱氢乙酸及其钠盐（以脱氢乙酸计）、糖精钠（以糖精计）、菌落总数、大肠菌群、沙门氏菌、金黄色葡萄球菌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米粉制品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较高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苯甲酸及其钠盐（以苯甲酸计）、山梨酸及其钾盐（以山梨酸计）、脱氢乙酸及其钠盐（以脱氢乙酸计）、二氧化硫残留量、菌落总数、大肠菌群、沙门氏菌、金黄色葡萄球菌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其他谷物粉类制成品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较高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黄曲霉毒素B</w:t>
            </w:r>
            <w:r>
              <w:rPr>
                <w:rStyle w:val="10"/>
                <w:rFonts w:hint="default" w:ascii="Times New Roman" w:hAnsi="Times New Roman" w:eastAsia="仿宋" w:cs="Times New Roman"/>
                <w:sz w:val="22"/>
                <w:szCs w:val="22"/>
                <w:lang w:val="en-US" w:eastAsia="zh-CN"/>
              </w:rPr>
              <w:t>1</w:t>
            </w:r>
            <w:r>
              <w:rPr>
                <w:rStyle w:val="11"/>
                <w:rFonts w:hint="default" w:ascii="Times New Roman" w:hAnsi="Times New Roman" w:eastAsia="仿宋" w:cs="Times New Roman"/>
                <w:sz w:val="22"/>
                <w:szCs w:val="22"/>
                <w:lang w:val="en-US" w:eastAsia="zh-CN"/>
              </w:rPr>
              <w:t>、苯甲酸及其钠盐（以苯甲酸计）、山梨酸及其钾盐（以山梨酸计）、脱氢乙酸及其钠盐（以脱氢乙酸计）、菌落总数、大肠菌群、沙门氏菌、金黄色葡萄球菌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2</w:t>
            </w: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食用油、油脂及其制品</w:t>
            </w: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食用植物油（含煎炸用油）</w:t>
            </w: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食用植物油（半精炼、全精炼）</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花生油</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酸值/酸价、过氧化值、黄曲霉毒素B</w:t>
            </w:r>
            <w:r>
              <w:rPr>
                <w:rStyle w:val="10"/>
                <w:rFonts w:hint="default" w:ascii="Times New Roman" w:hAnsi="Times New Roman" w:eastAsia="仿宋" w:cs="Times New Roman"/>
                <w:sz w:val="22"/>
                <w:szCs w:val="22"/>
                <w:lang w:val="en-US" w:eastAsia="zh-CN"/>
              </w:rPr>
              <w:t>1</w:t>
            </w:r>
            <w:r>
              <w:rPr>
                <w:rStyle w:val="11"/>
                <w:rFonts w:hint="default" w:ascii="Times New Roman" w:hAnsi="Times New Roman" w:eastAsia="仿宋" w:cs="Times New Roman"/>
                <w:sz w:val="22"/>
                <w:szCs w:val="22"/>
                <w:lang w:val="en-US" w:eastAsia="zh-CN"/>
              </w:rPr>
              <w:t>、铅（以Pb计）、苯并[a]芘、溶剂残留量、特丁基对苯二酚（TBHQ）</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玉米油</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酸值/酸价、过氧化值、黄曲霉毒素B</w:t>
            </w:r>
            <w:r>
              <w:rPr>
                <w:rStyle w:val="10"/>
                <w:rFonts w:hint="default" w:ascii="Times New Roman" w:hAnsi="Times New Roman" w:eastAsia="仿宋" w:cs="Times New Roman"/>
                <w:sz w:val="22"/>
                <w:szCs w:val="22"/>
                <w:lang w:val="en-US" w:eastAsia="zh-CN"/>
              </w:rPr>
              <w:t>1</w:t>
            </w:r>
            <w:r>
              <w:rPr>
                <w:rStyle w:val="11"/>
                <w:rFonts w:hint="default" w:ascii="Times New Roman" w:hAnsi="Times New Roman" w:eastAsia="仿宋" w:cs="Times New Roman"/>
                <w:sz w:val="22"/>
                <w:szCs w:val="22"/>
                <w:lang w:val="en-US" w:eastAsia="zh-CN"/>
              </w:rPr>
              <w:t>、苯并[a]芘、特丁基对苯二酚（TBHQ）</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芝麻油</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酸值/酸价、过氧化值、苯并[a]芘、溶剂残留量、乙基麦芽酚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橄榄油、油橄榄果渣油</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酸值/酸价、过氧化值、溶剂残留量、特丁基对苯二酚（TBHQ）</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菜籽油</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酸值/酸价、过氧化值、铅（以Pb计）、苯并[a]芘、溶剂残留量、特丁基对苯二酚（TBHQ乙基麦芽酚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大豆油</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酸值/酸价、过氧化值、苯并[a]芘、溶剂残留量、特丁基对苯二酚（TBHQ）</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食用植物调和油</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酸价、过氧化值、苯并[a]芘、溶剂残留量、特丁基对苯二酚（TBHQ）、乙基麦芽酚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其他食用植物油（半精炼、全精炼）</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酸值/酸价、过氧化值、铅（以Pb计）、苯并[a]芘、溶剂残留量、特丁基对苯二酚（TBHQ</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煎炸过程用油（餐饮环节）</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煎炸过程用油</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酸价、极性组分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食用动物油脂</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食用动物油脂</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食用动物油脂</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酸价、过氧化值、丙二醛、总砷、苯并[a]芘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食用油脂制品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食用油脂制品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食用油脂制品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较高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酸价（以脂肪计）、过氧化值（以脂肪计）、大肠菌群、霉菌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rPr>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3</w:t>
            </w: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调味品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酱油</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酱油</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酱油</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一般</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氨基酸态氮、全氮（以氮计）、铵盐（以占氨基酸态氮的百分比计）、苯甲酸及其钠盐（以苯甲酸计）、山梨酸及其钾盐（以山梨酸计）、脱氢乙酸及其钠盐（以脱氢乙酸计）、对羟基苯甲酸酯类及其钠盐（以对羟基苯甲酸计）、防腐剂混合使用时各自用量占其最大使用量的比例之和、糖精钠（以糖精计）、菌落总数、大肠菌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食醋</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食醋</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食醋</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一般</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总酸（以乙酸计）、不挥发酸（以乳酸计）、苯甲酸及其钠盐（以苯甲酸计）、山梨酸及其钾盐（以山梨酸计）、脱氢乙酸及其钠盐（以脱氢乙酸计）、对羟基苯甲酸酯类及其钠盐（以对羟基苯甲酸计）、防腐剂混合使用时各自用量占其最大使用量的比例之和、糖精钠（以糖精计）、菌落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酱类</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酿造酱</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黄豆酱、甜面酱等</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一般</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氨基酸态氮、黄曲霉毒素B</w:t>
            </w:r>
            <w:r>
              <w:rPr>
                <w:rFonts w:hint="default" w:ascii="Times New Roman" w:hAnsi="Times New Roman" w:eastAsia="仿宋" w:cs="Times New Roman"/>
                <w:i w:val="0"/>
                <w:color w:val="000000"/>
                <w:kern w:val="0"/>
                <w:sz w:val="22"/>
                <w:szCs w:val="22"/>
                <w:u w:val="none"/>
                <w:vertAlign w:val="subscript"/>
                <w:lang w:val="en-US" w:eastAsia="zh-CN"/>
              </w:rPr>
              <w:t>1</w:t>
            </w:r>
            <w:r>
              <w:rPr>
                <w:rFonts w:hint="default" w:ascii="Times New Roman" w:hAnsi="Times New Roman" w:eastAsia="仿宋" w:cs="Times New Roman"/>
                <w:i w:val="0"/>
                <w:color w:val="000000"/>
                <w:kern w:val="0"/>
                <w:sz w:val="22"/>
                <w:szCs w:val="22"/>
                <w:u w:val="none"/>
                <w:lang w:val="en-US" w:eastAsia="zh-CN"/>
              </w:rPr>
              <w:t>、苯甲酸及其钠盐（以苯甲酸计）、山梨酸及其钾盐（以山梨酸计）、脱氢乙酸及其钠盐（以脱氢乙酸计）、防腐剂混合使用时各自用量占其最大使用量的比例之和、糖精钠（以糖精计）、大肠菌群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调味料酒</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调味料酒</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料酒</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一般</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氨基酸态氮（以氮计）、苯甲酸及其钠盐（以苯甲酸计）、山梨酸及其钾盐（以山梨酸计）、脱氢乙酸及其钠盐（以脱氢乙酸计）、糖精钠（以糖精计）、甜蜜素（以环己基氨基磺酸计）、三氯蔗糖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香辛料类</w:t>
            </w: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香辛料类</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香辛料调味油</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一般</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酸价/酸值、过氧化值、铅（以Pb计）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辣椒、花椒、辣椒粉、花椒粉</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较高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铅（以Pb计）、罗丹明B、苏丹红I-IV、脱氢乙酸及其钠盐（以脱氢乙酸计）、沙门氏菌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其他香辛料调味品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较高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铅（以Pb计）、丙溴磷、氯氰菊酯和高效氯氰菊酯、多菌灵、沙门氏菌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调味料</w:t>
            </w: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固体复合调味料</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鸡粉、鸡精调味料</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一般</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谷氨酸钠、呈味核苷酸二钠、糖精钠（以糖精计）、甜蜜素（以环己基氨基磺酸计）、菌落总数、大肠菌群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其他固体调味料</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一般</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铅（以Pb计）、总砷（以As计）、苏丹红I-IV、罂粟碱、吗啡、可待因、那可丁、苯甲酸及其钠盐（以苯甲酸计）、山梨酸及其钾盐（以山梨酸计）、脱氢乙酸及其钠盐（以脱氢乙酸计）、防腐剂混合使用时各自用量占其最大使用量的比例之和、糖精钠（以糖精计）、甜蜜素（以环己基氨基磺酸计）、阿斯巴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半固体复合调味料</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蛋黄酱、沙拉酱</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一般</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乙二胺四乙酸二钠、二氧化钛、金黄色葡萄球菌、沙门氏菌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半固体复合调味料</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坚果与籽类的泥（酱）</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一般</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酸价/酸值、过氧化值、铅（以Pb计）、黄曲霉毒素B</w:t>
            </w:r>
            <w:r>
              <w:rPr>
                <w:rStyle w:val="10"/>
                <w:rFonts w:hint="default" w:ascii="Times New Roman" w:hAnsi="Times New Roman" w:eastAsia="仿宋" w:cs="Times New Roman"/>
                <w:sz w:val="22"/>
                <w:szCs w:val="22"/>
                <w:lang w:val="en-US" w:eastAsia="zh-CN"/>
              </w:rPr>
              <w:t>1</w:t>
            </w:r>
            <w:r>
              <w:rPr>
                <w:rStyle w:val="11"/>
                <w:rFonts w:hint="default" w:ascii="Times New Roman" w:hAnsi="Times New Roman" w:eastAsia="仿宋" w:cs="Times New Roman"/>
                <w:sz w:val="22"/>
                <w:szCs w:val="22"/>
                <w:lang w:val="en-US" w:eastAsia="zh-CN"/>
              </w:rPr>
              <w:t>、沙门氏菌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辣椒酱</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一般</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苯甲酸及其钠盐（以苯甲酸计）、山梨酸及其钾盐（以山梨酸计）、脱氢乙酸及其钠盐（以脱氢乙酸计）、防腐剂混合使用时各自用量占其最大使用量的比例之和、甜蜜素（以环己基氨基磺酸计）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火锅底料、麻辣烫底料</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一般</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铅（以Pb计）、苯甲酸及其钠盐（以苯甲酸计）、山梨酸及其钾盐（以山梨酸计）、脱氢乙酸及其钠盐（以脱氢乙酸计）、防腐剂混合使用时各自用量占其最大使用量的比例之和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其他半固体调味料</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一般</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罗丹明B、罂粟碱、吗啡、可待因、那可丁、苯甲酸及其钠盐（以苯甲酸计）、山梨酸及其钾盐（以山梨酸计）、脱氢乙酸及其钠盐（以脱氢乙酸计）、防腐剂混合使用时各自用量占其最大使用量的比例之和、甜蜜素（以环己基氨基磺酸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液体复合调味料</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蚝油、虾油、鱼露</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一般</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氨基酸态氮、苯甲酸及其钠盐（以苯甲酸计）、山梨酸及其钾盐（以山梨酸计）、脱氢乙酸及其钠盐（以脱氢乙酸计）、防腐剂混合使用时各自用量占其最大使用量的比例之和、菌落总数、大肠菌群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其他液体调味料</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一般</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苯甲酸及其钠盐（以苯甲酸计）、山梨酸及其钾盐（以山梨酸计）、脱氢乙酸及其钠盐（以脱氢乙酸计）、防腐剂混合使用时各自用量占其最大使用量的比例之和、糖精钠（以糖精计）、甜蜜素（以环己基氨基磺酸计）、菌落总数、大肠菌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味精</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味精</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味精</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一般</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谷氨酸钠、铅（以Pb计）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食盐</w:t>
            </w: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食用盐</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普通食用盐</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一般</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氯化钠、钡（以Ba计）、碘（以I计）、铅（以Pb计）、总砷（以As计）、镉（以Cd计）、总汞（以Hg计）、亚铁氰化钾/亚铁氰化钠（以亚铁氰根计）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低钠食用盐</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一般</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氯化钾、钡（以Ba计）、碘（以I计）、铅（以Pb计）、总砷（以As计）、镉（以Cd计）、总汞（以Hg计）、亚铁氰化钾/亚铁氰化钠（以亚铁氰根计）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风味食用盐</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一般</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钡（以Ba计）、铅（以Pb计）、总砷（以As计）、镉（以Cd计）、总汞（以Hg计）、亚铁氰化钾/亚铁氰化钠（以亚铁氰根计）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特殊工艺食用盐</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一般</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氯化钠、钡（以Ba计）、碘（以I计）、铅（以Pb计）、总砷（以As计）、镉（以Cd计）、总汞（以Hg计）、亚铁氰化钾/亚铁氰化钠（以亚铁氰根计）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食品生产加工用盐</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食品生产加工用盐</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一般</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铅（以Pb计）、总砷（以As计）、镉（以Cd计）、总汞（以Hg计）、亚铁氰化钾/亚铁氰化钠（以亚铁氰根计）、亚硝酸盐（以NaNO</w:t>
            </w:r>
            <w:r>
              <w:rPr>
                <w:rStyle w:val="10"/>
                <w:rFonts w:hint="default" w:ascii="Times New Roman" w:hAnsi="Times New Roman" w:eastAsia="仿宋" w:cs="Times New Roman"/>
                <w:sz w:val="22"/>
                <w:szCs w:val="22"/>
                <w:lang w:val="en-US" w:eastAsia="zh-CN"/>
              </w:rPr>
              <w:t>2</w:t>
            </w:r>
            <w:r>
              <w:rPr>
                <w:rStyle w:val="11"/>
                <w:rFonts w:hint="default" w:ascii="Times New Roman" w:hAnsi="Times New Roman" w:eastAsia="仿宋" w:cs="Times New Roman"/>
                <w:sz w:val="22"/>
                <w:szCs w:val="22"/>
                <w:lang w:val="en-US" w:eastAsia="zh-CN"/>
              </w:rPr>
              <w:t>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4</w:t>
            </w: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肉制品</w:t>
            </w: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预制肉制品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调理肉制品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调理肉制品（非速冻）</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铬（以Cr计）、苯甲酸及其钠盐（以苯甲酸计）、山梨酸及其钾盐（以山梨酸计）、氯霉素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腌腊肉制品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腌腊肉制品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过氧化值（以脂肪计）、总砷（以As计）、亚硝酸盐（以亚硝酸钠计）、苯甲酸及其钠盐（以苯甲酸计）、山梨酸及其钾盐（以山梨酸计）、合成着色剂（胭脂红）、氯霉素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熟肉制品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发酵肉制品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发酵肉制品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亚硝酸盐（以亚硝酸钠计）、氯霉素、大肠菌群、沙门氏菌、金黄色葡萄球菌、单核细胞增生李斯特氏菌、致泻大肠埃希氏菌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酱卤肉制品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酱卤肉制品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铅（以Pb计）、镉（以Cd计）、铬（以Cr计）、总砷（以As计）、亚硝酸盐（以亚硝酸钠计）、苯甲酸及其钠盐（以苯甲酸计）、山梨酸及其钾盐（以山梨酸计）、脱氢乙酸及其钠盐（以脱氢乙酸计）、防腐剂混合使用时各自用量占其最大使用量的比例之和、合成着色剂（胭脂红）、糖精钠（以糖精计）、氯霉素、酸性橙II、菌落总数、大肠菌群、沙门氏菌、金黄色葡萄球菌、单核细胞增生李斯特氏菌、致泻大肠埃希氏菌、商业无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熟肉干制品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熟肉干制品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铅（以Pb计）、镉（以Cd计）、铬（以Cr计）、苯甲酸及其钠盐（以苯甲酸计）、山梨酸及其钾盐（以山梨酸计）、脱氢乙酸及其钠盐（以脱氢乙酸计）、防腐剂混合使用时各自用量占其最大使用量的比例之和、合成着色剂（胭脂红）、氯霉素、菌落总数、大肠菌群、沙门氏菌、金黄色葡萄球菌、单核细胞增生李斯特氏菌、致泻大肠埃希氏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熏烧烤肉制品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熏烧烤肉制品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铅（以Pb计）、苯并[a]芘、亚硝酸盐（以亚硝酸钠计）、氯霉素、菌落总数、大肠菌群、沙门氏菌、金黄色葡萄球菌、单核细胞增生李斯特氏菌、致泻大肠埃希氏菌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熏煮香肠火腿制品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熏煮香肠火腿制品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亚硝酸盐（以亚硝酸钠计）、苯甲酸及其钠盐（以苯甲酸计）、山梨酸及其钾盐（以山梨酸计）、脱氢乙酸及其钠盐（以脱氢乙酸计）、防腐剂混合使用时各自用量占其最大使用量的比例之和、合成着色剂（胭脂红）、氯霉素、菌落总数、大肠菌群、沙门氏菌、金黄色葡萄球菌、单核细胞增生李斯特氏菌、致泻大肠埃希氏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5</w:t>
            </w: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乳制品</w:t>
            </w: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乳制品</w:t>
            </w: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液体乳</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巴氏杀菌乳</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蛋白质、酸度、三聚氰胺、沙门氏菌、金黄色葡萄球菌、菌落总数、大肠菌群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灭菌乳</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蛋白质、非脂乳固体、酸度、脂肪、三聚氰胺、商业无菌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发酵乳</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脂肪、蛋白质、酸度、乳酸菌数、山梨酸及其钾盐、三聚氰胺、金黄色葡萄球菌、沙门氏菌、大肠菌群、霉菌、酵母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调制乳</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蛋白质、三聚氰胺、商业无菌、菌落总数、大肠菌群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乳粉</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全脂乳粉、脱脂乳粉、部分脱脂乳粉、调制乳粉</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蛋白质、三聚氰胺、菌落总数、大肠菌群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8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乳清粉和乳清蛋白粉（企业原料）</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脱盐乳清粉、非脱盐乳清粉、浓缩乳清蛋白粉、分离乳清蛋白粉</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蛋白质、三聚氰胺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其他乳制品（炼乳、奶油、干酪、固态成型产品）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淡炼乳、加糖炼乳和调制炼乳</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蛋白质、三聚氰胺、商业无菌、菌落总数、大肠菌群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稀奶油、奶油和无水奶油</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脂肪、酸度、三聚氰胺、沙门氏菌、商业无菌、菌落总数、大肠菌群、霉菌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干酪（奶酪）、再制干酪</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三聚氰胺、金黄色葡萄球菌、沙门氏菌、单核细胞增生李斯特氏菌、菌落总数、大肠菌群、酵母、霉菌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奶片、奶条等</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脱氢乙酸及其钠盐、三聚氰胺、沙门氏菌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6</w:t>
            </w: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饮料</w:t>
            </w: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饮料</w:t>
            </w: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包装饮用水</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饮用天然矿泉水</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界限指标、镍、锑、溴酸盐、硝酸盐（以NO</w:t>
            </w:r>
            <w:r>
              <w:rPr>
                <w:rStyle w:val="10"/>
                <w:rFonts w:hint="default" w:ascii="Times New Roman" w:hAnsi="Times New Roman" w:eastAsia="仿宋" w:cs="Times New Roman"/>
                <w:sz w:val="22"/>
                <w:szCs w:val="22"/>
                <w:lang w:val="en-US" w:eastAsia="zh-CN"/>
              </w:rPr>
              <w:t>3</w:t>
            </w:r>
            <w:r>
              <w:rPr>
                <w:rStyle w:val="12"/>
                <w:rFonts w:hint="default" w:ascii="Times New Roman" w:hAnsi="Times New Roman" w:eastAsia="仿宋" w:cs="Times New Roman"/>
                <w:sz w:val="22"/>
                <w:szCs w:val="22"/>
                <w:lang w:val="en-US" w:eastAsia="zh-CN"/>
              </w:rPr>
              <w:t>-</w:t>
            </w:r>
            <w:r>
              <w:rPr>
                <w:rStyle w:val="11"/>
                <w:rFonts w:hint="default" w:ascii="Times New Roman" w:hAnsi="Times New Roman" w:eastAsia="仿宋" w:cs="Times New Roman"/>
                <w:sz w:val="22"/>
                <w:szCs w:val="22"/>
                <w:lang w:val="en-US" w:eastAsia="zh-CN"/>
              </w:rPr>
              <w:t>计）、亚硝酸盐（以NO</w:t>
            </w:r>
            <w:r>
              <w:rPr>
                <w:rStyle w:val="10"/>
                <w:rFonts w:hint="default" w:ascii="Times New Roman" w:hAnsi="Times New Roman" w:eastAsia="仿宋" w:cs="Times New Roman"/>
                <w:sz w:val="22"/>
                <w:szCs w:val="22"/>
                <w:lang w:val="en-US" w:eastAsia="zh-CN"/>
              </w:rPr>
              <w:t>2</w:t>
            </w:r>
            <w:r>
              <w:rPr>
                <w:rStyle w:val="12"/>
                <w:rFonts w:hint="default" w:ascii="Times New Roman" w:hAnsi="Times New Roman" w:eastAsia="仿宋" w:cs="Times New Roman"/>
                <w:sz w:val="22"/>
                <w:szCs w:val="22"/>
                <w:lang w:val="en-US" w:eastAsia="zh-CN"/>
              </w:rPr>
              <w:t>-</w:t>
            </w:r>
            <w:r>
              <w:rPr>
                <w:rStyle w:val="11"/>
                <w:rFonts w:hint="default" w:ascii="Times New Roman" w:hAnsi="Times New Roman" w:eastAsia="仿宋" w:cs="Times New Roman"/>
                <w:sz w:val="22"/>
                <w:szCs w:val="22"/>
                <w:lang w:val="en-US" w:eastAsia="zh-CN"/>
              </w:rPr>
              <w:t>计）、大肠菌群、铜绿假单胞菌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饮用纯净水</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电导率、耗氧量（以O</w:t>
            </w:r>
            <w:r>
              <w:rPr>
                <w:rStyle w:val="10"/>
                <w:rFonts w:hint="default" w:ascii="Times New Roman" w:hAnsi="Times New Roman" w:eastAsia="仿宋" w:cs="Times New Roman"/>
                <w:sz w:val="22"/>
                <w:szCs w:val="22"/>
                <w:lang w:val="en-US" w:eastAsia="zh-CN"/>
              </w:rPr>
              <w:t>2</w:t>
            </w:r>
            <w:r>
              <w:rPr>
                <w:rStyle w:val="11"/>
                <w:rFonts w:hint="default" w:ascii="Times New Roman" w:hAnsi="Times New Roman" w:eastAsia="仿宋" w:cs="Times New Roman"/>
                <w:sz w:val="22"/>
                <w:szCs w:val="22"/>
                <w:lang w:val="en-US" w:eastAsia="zh-CN"/>
              </w:rPr>
              <w:t>计）、亚硝酸盐（以NO</w:t>
            </w:r>
            <w:r>
              <w:rPr>
                <w:rStyle w:val="10"/>
                <w:rFonts w:hint="default" w:ascii="Times New Roman" w:hAnsi="Times New Roman" w:eastAsia="仿宋" w:cs="Times New Roman"/>
                <w:sz w:val="22"/>
                <w:szCs w:val="22"/>
                <w:lang w:val="en-US" w:eastAsia="zh-CN"/>
              </w:rPr>
              <w:t>2</w:t>
            </w:r>
            <w:r>
              <w:rPr>
                <w:rStyle w:val="12"/>
                <w:rFonts w:hint="default" w:ascii="Times New Roman" w:hAnsi="Times New Roman" w:eastAsia="仿宋" w:cs="Times New Roman"/>
                <w:sz w:val="22"/>
                <w:szCs w:val="22"/>
                <w:lang w:val="en-US" w:eastAsia="zh-CN"/>
              </w:rPr>
              <w:t>-</w:t>
            </w:r>
            <w:r>
              <w:rPr>
                <w:rStyle w:val="11"/>
                <w:rFonts w:hint="default" w:ascii="Times New Roman" w:hAnsi="Times New Roman" w:eastAsia="仿宋" w:cs="Times New Roman"/>
                <w:sz w:val="22"/>
                <w:szCs w:val="22"/>
                <w:lang w:val="en-US" w:eastAsia="zh-CN"/>
              </w:rPr>
              <w:t>计）、余氯（游离氯）、溴酸盐、三氯甲烷、阴离子合成洗涤剂、大肠菌群、铜绿假单胞菌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其他类饮用水</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耗氧量（以O</w:t>
            </w:r>
            <w:r>
              <w:rPr>
                <w:rStyle w:val="10"/>
                <w:rFonts w:hint="default" w:ascii="Times New Roman" w:hAnsi="Times New Roman" w:eastAsia="仿宋" w:cs="Times New Roman"/>
                <w:sz w:val="22"/>
                <w:szCs w:val="22"/>
                <w:lang w:val="en-US" w:eastAsia="zh-CN"/>
              </w:rPr>
              <w:t>2</w:t>
            </w:r>
            <w:r>
              <w:rPr>
                <w:rStyle w:val="11"/>
                <w:rFonts w:hint="default" w:ascii="Times New Roman" w:hAnsi="Times New Roman" w:eastAsia="仿宋" w:cs="Times New Roman"/>
                <w:sz w:val="22"/>
                <w:szCs w:val="22"/>
                <w:lang w:val="en-US" w:eastAsia="zh-CN"/>
              </w:rPr>
              <w:t>计）、亚硝酸盐（以NO</w:t>
            </w:r>
            <w:r>
              <w:rPr>
                <w:rStyle w:val="10"/>
                <w:rFonts w:hint="default" w:ascii="Times New Roman" w:hAnsi="Times New Roman" w:eastAsia="仿宋" w:cs="Times New Roman"/>
                <w:sz w:val="22"/>
                <w:szCs w:val="22"/>
                <w:lang w:val="en-US" w:eastAsia="zh-CN"/>
              </w:rPr>
              <w:t>2</w:t>
            </w:r>
            <w:r>
              <w:rPr>
                <w:rStyle w:val="12"/>
                <w:rFonts w:hint="default" w:ascii="Times New Roman" w:hAnsi="Times New Roman" w:eastAsia="仿宋" w:cs="Times New Roman"/>
                <w:sz w:val="22"/>
                <w:szCs w:val="22"/>
                <w:lang w:val="en-US" w:eastAsia="zh-CN"/>
              </w:rPr>
              <w:t>-</w:t>
            </w:r>
            <w:r>
              <w:rPr>
                <w:rStyle w:val="11"/>
                <w:rFonts w:hint="default" w:ascii="Times New Roman" w:hAnsi="Times New Roman" w:eastAsia="仿宋" w:cs="Times New Roman"/>
                <w:sz w:val="22"/>
                <w:szCs w:val="22"/>
                <w:lang w:val="en-US" w:eastAsia="zh-CN"/>
              </w:rPr>
              <w:t>计）、余氯（游离氯）、溴酸盐、三氯甲烷、阴离子合成洗涤剂、大肠菌群、铜绿假单胞菌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果蔬汁类及其饮料</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果蔬汁类及其饮料</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较高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铅（以Pb计）、展青霉素、苯甲酸及其钠盐（以苯甲酸计）、山梨酸及其钾盐（以山梨酸计）、脱氢乙酸及其钠盐（以脱氢乙酸计）、防腐剂混合使用时各自用量占其最大使用量的比例之和、糖精钠（以糖精计）、安赛蜜、甜蜜素（以环己基氨基磺酸计）、合成着色剂（苋菜红、胭脂红、柠檬黄、日落黄、亮蓝）、菌落总数、大肠菌群、霉菌、酵母、霉菌和酵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蛋白饮料</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蛋白饮料</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较高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蛋白质、三聚氰胺、脱氢乙酸及其钠盐（以脱氢乙酸计）、菌落总数、大肠菌群、沙门氏菌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碳酸饮料(汽水)</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碳酸饮料(汽水)</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一般</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二氧化碳气容量、苯甲酸及其钠盐（以苯甲酸计）、山梨酸及其钾盐（以山梨酸计）、防腐剂混合使用时各自用量占其最大使用量的比例之和、甜蜜素（以环己基氨基磺酸计）、菌落总数、霉菌、酵母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茶饮料</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茶饮料</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较高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茶多酚、咖啡因、脱氢乙酸及其钠盐（以脱氢乙酸计）、菌落总数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固体饮料</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固体饮料</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一般</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蛋白质、铅（以Pb计）、赭曲霉毒素A、苯甲酸及其钠盐（以苯甲酸计）、山梨酸及其钾盐（以山梨酸计）、防腐剂混合使用时各自用量占其最大使用量的比例之和、糖精钠（以糖精计）、合成着色剂（苋菜红、胭脂红、柠檬黄、日落黄、亮蓝）、菌落总数、大肠菌群、霉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其他饮料</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其他饮料</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一般</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苯甲酸及其钠盐（以苯甲酸计）、山梨酸及其钾盐（以山梨酸计）、脱氢乙酸及其钠盐（以脱氢乙酸计）、防腐剂混合使用时各自用量占其最大使用量的比例之和、糖精钠（以糖精计）、甜蜜素（以环己基氨基磺酸计）、合成着色剂（苋菜红、胭脂红、柠檬黄、日落黄、亮蓝）、菌落总数、大肠菌群、霉菌、酵母、沙门氏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0" w:hRule="atLeast"/>
        </w:trPr>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7</w:t>
            </w: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方便食品</w:t>
            </w: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方便食品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方便面</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油炸面、非油炸面、方便米粉（米线）、方便粉丝</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较高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水分、酸价（以脂肪计）、过氧化值（以脂肪计）、菌落总数、大肠菌群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调味面制品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调味面制品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较高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酸价（以脂肪计）、过氧化值（以脂肪计）、苯甲酸及其钠盐（以苯甲酸计）、山梨酸及其钾盐（以山梨酸计）、脱氢乙酸及其钠盐（以脱氢乙酸计）、糖精钠（以糖精计）、三氯蔗糖、菌落总数、大肠菌群、霉菌、沙门氏菌、金黄色葡萄球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其他方便食品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方便粥、方便盒饭、冷面及其他熟制方便食品等</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较高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酸价（以脂肪计）、过氧化值（以脂肪计）、铅（以Pb计）、黄曲霉毒素B</w:t>
            </w:r>
            <w:r>
              <w:rPr>
                <w:rStyle w:val="10"/>
                <w:rFonts w:hint="default" w:ascii="Times New Roman" w:hAnsi="Times New Roman" w:eastAsia="仿宋" w:cs="Times New Roman"/>
                <w:sz w:val="22"/>
                <w:szCs w:val="22"/>
                <w:lang w:val="en-US" w:eastAsia="zh-CN"/>
              </w:rPr>
              <w:t>1</w:t>
            </w:r>
            <w:r>
              <w:rPr>
                <w:rStyle w:val="11"/>
                <w:rFonts w:hint="default" w:ascii="Times New Roman" w:hAnsi="Times New Roman" w:eastAsia="仿宋" w:cs="Times New Roman"/>
                <w:sz w:val="22"/>
                <w:szCs w:val="22"/>
                <w:lang w:val="en-US" w:eastAsia="zh-CN"/>
              </w:rPr>
              <w:t>、苯甲酸及其钠盐（以苯甲酸计）、山梨酸及其钾盐（以山梨酸计）、糖精钠（以糖精计）、菌落总数、大肠菌群、霉菌、沙门氏菌、金黄色葡萄球菌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rPr>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8</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饼干</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饼干</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饼干</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饼干</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一般</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酸价（以脂肪计）、过氧化值（以脂肪计）、苯甲酸及其钠盐（以苯甲酸计）、山梨酸及其钾盐（以山梨酸计）、铝的残留量（干样品，以Al计）、脱氢乙酸及其钠盐（以脱氢乙酸计）、甜蜜素（以环己基氨基磺酸计）、菌落总数、大肠菌群、金黄色葡萄球菌、沙门氏菌、霉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9</w:t>
            </w: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罐头</w:t>
            </w: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罐头</w:t>
            </w: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畜禽水产罐头</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畜禽肉类罐头</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一般</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镉（以Cd计）、苯甲酸及其钠盐（以苯甲酸计）、山梨酸及其钾盐（以山梨酸计）、糖精钠（以糖精计）、商业无菌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水产动物类罐头</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一般</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组胺、无机砷（以As计）、脱氢乙酸及其钠盐（以脱氢乙酸计）、苯甲酸及其钠盐（以苯甲酸计）、山梨酸及其钾盐（以山梨酸计）、糖精钠（以糖精计）、商业无菌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果蔬罐头</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水果类罐头</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较高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合成着色剂（柠檬黄、日落黄、苋菜红、胭脂红、赤藓红、诱惑红、亮蓝）、脱氢乙酸及其钠盐（以脱氢乙酸计）、苯甲酸及其钠盐（以苯甲酸计）、山梨酸及其钾盐（以山梨酸计）、糖精钠（以糖精计）、甜蜜素（以环己基氨基磺酸计）、阿斯巴甜、商业无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蔬菜类罐头</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较高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脱氢乙酸及其钠盐（以脱氢乙酸计）、苯甲酸及其钠盐（以苯甲酸计）、山梨酸及其钾盐（以山梨酸计）、乙二胺四乙酸二钠、商业无菌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食用菌罐头</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较高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脱氢乙酸及其钠盐（以脱氢乙酸计）、苯甲酸及其钠盐（以苯甲酸计）、乙二胺四乙酸二钠、商业无菌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其他罐头</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其他罐头</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一般</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黄曲霉毒素B</w:t>
            </w:r>
            <w:r>
              <w:rPr>
                <w:rStyle w:val="10"/>
                <w:rFonts w:hint="default" w:ascii="Times New Roman" w:hAnsi="Times New Roman" w:eastAsia="仿宋" w:cs="Times New Roman"/>
                <w:sz w:val="22"/>
                <w:szCs w:val="22"/>
                <w:lang w:val="en-US" w:eastAsia="zh-CN"/>
              </w:rPr>
              <w:t>1</w:t>
            </w:r>
            <w:r>
              <w:rPr>
                <w:rStyle w:val="11"/>
                <w:rFonts w:hint="default" w:ascii="Times New Roman" w:hAnsi="Times New Roman" w:eastAsia="仿宋" w:cs="Times New Roman"/>
                <w:sz w:val="22"/>
                <w:szCs w:val="22"/>
                <w:lang w:val="en-US" w:eastAsia="zh-CN"/>
              </w:rPr>
              <w:t>、脱氢乙酸及其钠盐（以脱氢乙酸计）、苯甲酸及其钠盐（以苯甲酸计）、山梨酸及其钾盐（以山梨酸计）、糖精钠（以糖精计）、乙二胺四乙酸二钠、商业无菌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0" w:hRule="atLeast"/>
        </w:trPr>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10</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冷冻饮品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冷冻饮品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冷冻饮品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冰淇淋、雪糕、雪泥、冰棍、食用冰、甜味冰、其他类</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较高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蛋白质、甜蜜素（以环己基氨基磺酸计）、糖精钠（以糖精计）、阿斯巴甜、菌落总数、大肠菌群、沙门氏菌、单核细胞增生李斯特氏菌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11</w:t>
            </w: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速冻食品</w:t>
            </w: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速冻面米食品</w:t>
            </w: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速冻面米食品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速冻面米生制品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较高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过氧化值（以脂肪计）、黄曲霉毒素B</w:t>
            </w:r>
            <w:r>
              <w:rPr>
                <w:rStyle w:val="10"/>
                <w:rFonts w:hint="default" w:ascii="Times New Roman" w:hAnsi="Times New Roman" w:eastAsia="仿宋" w:cs="Times New Roman"/>
                <w:sz w:val="22"/>
                <w:szCs w:val="22"/>
                <w:lang w:val="en-US" w:eastAsia="zh-CN"/>
              </w:rPr>
              <w:t>1</w:t>
            </w:r>
            <w:r>
              <w:rPr>
                <w:rStyle w:val="11"/>
                <w:rFonts w:hint="default" w:ascii="Times New Roman" w:hAnsi="Times New Roman" w:eastAsia="仿宋" w:cs="Times New Roman"/>
                <w:sz w:val="22"/>
                <w:szCs w:val="22"/>
                <w:lang w:val="en-US" w:eastAsia="zh-CN"/>
              </w:rPr>
              <w:t>、铅（以Pb计）、糖精钠（以糖精计）、菌落总数、大肠菌群、沙门氏菌、金黄色葡萄球菌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速冻面米熟制品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较高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过氧化值（以脂肪计）、黄曲霉毒素B</w:t>
            </w:r>
            <w:r>
              <w:rPr>
                <w:rFonts w:hint="default" w:ascii="Times New Roman" w:hAnsi="Times New Roman" w:eastAsia="仿宋" w:cs="Times New Roman"/>
                <w:i w:val="0"/>
                <w:color w:val="000000"/>
                <w:kern w:val="0"/>
                <w:sz w:val="22"/>
                <w:szCs w:val="22"/>
                <w:u w:val="none"/>
                <w:vertAlign w:val="subscript"/>
                <w:lang w:val="en-US" w:eastAsia="zh-CN"/>
              </w:rPr>
              <w:t>1</w:t>
            </w:r>
            <w:r>
              <w:rPr>
                <w:rFonts w:hint="default" w:ascii="Times New Roman" w:hAnsi="Times New Roman" w:eastAsia="仿宋" w:cs="Times New Roman"/>
                <w:i w:val="0"/>
                <w:color w:val="000000"/>
                <w:kern w:val="0"/>
                <w:sz w:val="22"/>
                <w:szCs w:val="22"/>
                <w:u w:val="none"/>
                <w:lang w:val="en-US" w:eastAsia="zh-CN"/>
              </w:rPr>
              <w:t>、糖精钠（以糖精计）、菌落总数、大肠菌群、沙门氏菌、金黄色葡萄球菌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速冻调制食品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速冻肉制品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速冻调理肉制品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一般</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过氧化值（以脂肪计）、铅（以Pb计）、铬（以Cr计）、氯霉素、合成着色剂（胭脂红）、菌落总数、大肠菌群、沙门氏菌、金黄色葡萄球菌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速冻水产制品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速冻水产制品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一般</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过氧化值（以脂肪计）、苯甲酸及其钠盐（以苯甲酸计）、山梨酸及其钾盐（以山梨酸计）、菌落总数、大肠菌群、沙门氏菌、副溶血性弧菌、单核细胞增生李斯特氏菌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速冻其他食品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速冻谷物食品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速冻谷物食品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一般</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铅（以Pb计）、黄曲霉毒素B</w:t>
            </w:r>
            <w:r>
              <w:rPr>
                <w:rFonts w:hint="default" w:ascii="Times New Roman" w:hAnsi="Times New Roman" w:eastAsia="仿宋" w:cs="Times New Roman"/>
                <w:i w:val="0"/>
                <w:color w:val="000000"/>
                <w:kern w:val="0"/>
                <w:sz w:val="22"/>
                <w:szCs w:val="22"/>
                <w:u w:val="none"/>
                <w:vertAlign w:val="subscript"/>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速冻蔬菜制品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速冻蔬菜制品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一般</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苯甲酸及其钠盐（以苯甲酸计）、山梨酸及其钾盐（以山梨酸计）、糖精钠（以糖精计）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速冻水果制品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速冻水果制品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一般</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铅（以Pb计）、镉（以Cd计）、菌落总数、大肠菌群、霉菌、沙门氏菌、金黄色葡萄球菌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12</w:t>
            </w: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薯类和膨化食品</w:t>
            </w: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薯类和膨化食品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膨化食品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含油型膨化食品和非含油型膨化食品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较高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水分、酸价（以脂肪计）、过氧化值（以脂肪计）、黄曲霉毒素B</w:t>
            </w:r>
            <w:r>
              <w:rPr>
                <w:rStyle w:val="10"/>
                <w:rFonts w:hint="default" w:ascii="Times New Roman" w:hAnsi="Times New Roman" w:eastAsia="仿宋" w:cs="Times New Roman"/>
                <w:sz w:val="22"/>
                <w:szCs w:val="22"/>
                <w:lang w:val="en-US" w:eastAsia="zh-CN"/>
              </w:rPr>
              <w:t>1</w:t>
            </w:r>
            <w:r>
              <w:rPr>
                <w:rStyle w:val="11"/>
                <w:rFonts w:hint="default" w:ascii="Times New Roman" w:hAnsi="Times New Roman" w:eastAsia="仿宋" w:cs="Times New Roman"/>
                <w:sz w:val="22"/>
                <w:szCs w:val="22"/>
                <w:lang w:val="en-US" w:eastAsia="zh-CN"/>
              </w:rPr>
              <w:t>、糖精钠（以糖精计）、苯甲酸及其钠盐（以苯甲酸计）、山梨酸及其钾盐（以山梨酸计）、菌落总数、大肠菌群沙门氏菌、金黄色葡萄球菌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薯类食品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干制薯类</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一般</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酸价（以脂肪计）、过氧化值（以脂肪计）、菌落总数、大肠菌群、铅（以Pb计）、沙门氏菌、金黄色葡萄球菌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冷冻薯类</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一般</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铅（以Pb计）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薯泥（酱）类</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一般</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铅（以Pb计）、苯甲酸及其钠盐（以苯甲酸计）、山梨酸及其钾盐（以山梨酸计）、商业无菌、沙门氏菌、金黄色葡萄球菌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薯粉类</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一般</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铅（以Pb计）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其他类</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一般</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铅（以Pb计）、沙门氏菌、金黄色葡萄球菌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13</w:t>
            </w: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糖果制品</w:t>
            </w: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糖果制品(含巧克力及制品)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糖果</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糖果</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一般</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铅（以Pb计）、糖精钠（以糖精计）、合成着色剂（柠檬黄、苋菜红、胭脂红、日落黄）、相同色泽着色剂混合使用时各自用量占其最大使用量的比例之和、菌落总数、大肠菌群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8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巧克力及巧克力制品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巧克力、巧克力制品、代可可脂巧克力及代可可脂巧克力制品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一般</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铅（以Pb计）、沙门氏菌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果冻</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果冻</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一般</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山梨酸及其钾盐（以山梨酸计）、苯甲酸及其钠盐（以苯甲酸计）、糖精钠（以糖精计）、甜蜜素（以环己基氨基磺酸计）、菌落总数、大肠菌群、霉菌、酵母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80" w:hRule="atLeast"/>
        </w:trPr>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14</w:t>
            </w: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茶叶及相关制品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茶叶</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茶叶</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绿茶、红茶、乌龙茶、黄茶、白茶、黑茶、花茶、袋泡茶、紧压茶</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一般</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铅（以Pb计）、氟、草甘膦、吡虫啉、乙酰甲胺磷、联苯菊酯、灭多威、三氯杀螨醇、氰戊菊酯和S-氰戊菊酯、甲拌磷、克百威、水胺硫磷、氧乐果、毒死蜱、毒虫畏、氯酞酸甲酯、灭螨醌、甲氧滴滴涕、特乐酚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含茶制品和代用茶</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含茶制品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速溶茶类、其它含茶制品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一般</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铅（以Pb计）、菌落总数、大肠菌群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代用茶</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代用茶</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一般</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铅（以Pb计）、哒螨灵、啶虫脒、唑螨酯、克百威、炔螨特、毒死蜱、吡虫啉、井冈霉素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rPr>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15</w:t>
            </w: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酒类</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蒸馏酒</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白酒</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白酒、白酒(液态)、白酒(原酒)</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酒精度、铅（以Pb计）、甲醇、氰化物（以HCN计）、糖精钠（以糖精计）、甜蜜素（以环己基氨基磺酸计）、三氯蔗糖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发酵酒</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黄酒</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黄酒</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较高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酒精度、苯甲酸及其钠盐（以苯甲酸计）、山梨酸及其钾盐（以山梨酸计）、糖精钠（以糖精计）、甜蜜素（以环己基氨基磺酸计）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啤酒</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啤酒</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一般</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酒精度、原麦汁浓度、甲醛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葡萄酒</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葡萄酒</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较高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酒精度、甲醇、苯甲酸及其钠盐（以苯甲酸计）、山梨酸及其钾盐（以山梨酸计）、糖精钠（以糖精计）、二氧化硫残留量、甜蜜素（以环己基氨基磺酸计）、三氯蔗糖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果酒</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果酒</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较高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酒精度、展青霉素、苯甲酸及其钠盐（以苯甲酸计）、糖精钠（以糖精计）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其他酒</w:t>
            </w: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配制酒</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以蒸馏酒及食用酒精为酒基的配制酒</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较高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酒精度、甲醇、氰化物（以HCN计）、甜蜜素（以环己基氨基磺酸计）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以发酵酒为酒基的配制酒</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较高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酒精度、苯甲酸及其钠盐（以苯甲酸计）、山梨酸及其钾盐（以山梨酸计）、甜蜜素（以环己基氨基磺酸计）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其他蒸馏酒</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其他蒸馏酒</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较高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酒精度、甲醇、氰化物（以HCN计）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其他发酵酒</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其他发酵酒</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较高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酒精度、苯甲酸及其钠盐（以苯甲酸计）、山梨酸及其钾盐（以山梨酸计）、糖精钠（以糖精计）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0" w:hRule="atLeast"/>
        </w:trPr>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16</w:t>
            </w: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蔬菜制品</w:t>
            </w: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蔬菜制品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酱腌菜</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酱腌菜</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较高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铅（以Pb计）、苯甲酸及其钠盐（以苯甲酸计）、山梨酸及其钾盐（以山梨酸计）、脱氢乙酸及其钠盐（以脱氢乙酸计）、糖精钠（以糖精计）、甜蜜素（以环己基氨基磺酸计）、阿斯巴甜、亚硝酸盐（以NaNO</w:t>
            </w:r>
            <w:r>
              <w:rPr>
                <w:rStyle w:val="10"/>
                <w:rFonts w:hint="default" w:ascii="Times New Roman" w:hAnsi="Times New Roman" w:eastAsia="仿宋" w:cs="Times New Roman"/>
                <w:sz w:val="22"/>
                <w:szCs w:val="22"/>
                <w:lang w:val="en-US" w:eastAsia="zh-CN"/>
              </w:rPr>
              <w:t>2</w:t>
            </w:r>
            <w:r>
              <w:rPr>
                <w:rStyle w:val="11"/>
                <w:rFonts w:hint="default" w:ascii="Times New Roman" w:hAnsi="Times New Roman" w:eastAsia="仿宋" w:cs="Times New Roman"/>
                <w:sz w:val="22"/>
                <w:szCs w:val="22"/>
                <w:lang w:val="en-US" w:eastAsia="zh-CN"/>
              </w:rPr>
              <w:t>计）、大肠菌群、防腐剂混合使用时各自用量占其最大使用量的比例之和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蔬菜干制品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蔬菜干制品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一般</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铅（以Pb计）、苯甲酸及其钠盐（以苯甲酸计）、山梨酸及其钾盐（以山梨酸计）、二氧化硫残留量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其他蔬菜制品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其他蔬菜制品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一般</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苯甲酸及其钠盐（以苯甲酸计）、山梨酸及其钾盐（以山梨酸计）、糖精钠（以糖精计）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食用菌制品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干制食用菌</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一般</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铅（以Pb计）、总砷（以As计）、镉（以Cd计）、总汞（以Hg计）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腌渍食用菌</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一般</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苯甲酸及其钠盐（以苯甲酸计）、山梨酸及其钾盐（以山梨酸计）、脱氢乙酸及其钠盐（以脱氢乙酸计）、防腐剂混合使用时各自用量占其最大使用量的比例之和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17</w:t>
            </w: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水果制品</w:t>
            </w: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水果制品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蜜饯</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蜜饯类、凉果类、果脯类、话化类、果糕类</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较高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铅（以Pb计）、苯甲酸及其钠盐（以苯甲酸计）、山梨酸及其钾盐（以山梨酸计）、脱氢乙酸及其钠盐（以脱氢乙酸计）、防腐剂混合使用时各自用量占其最大使用量的比例之和、糖精钠（以糖精计）、甜蜜素（以环己基氨基磺酸计）、二氧化硫残留量、合成着色剂（亮蓝、柠檬黄、日落黄、苋菜红、胭脂红）、相同色泽着色剂混合使用时各自用量占其最大使用量的比例之和、乙二胺四乙酸二钠、菌落总数、大肠菌群、霉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水果干制品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水果干制品（含干枸杞）</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一般</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铅（以Pb计）、哒螨灵、啶虫脒、克百威、炔螨特、毒死蜱、吡虫啉、唑螨酯、氯氰菊酯和高效氯氰菊酯、肟菌酯、噁唑菌酮、山梨酸及其钾盐（以山梨酸计）、糖精钠（以糖精计）、菌落总数、大肠菌群、霉菌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果酱</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果酱</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一般</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脱氢乙酸及其钠盐（以脱氢乙酸计）、甜蜜素（以环己基氨基磺酸计）、菌落总数、大肠菌群、霉菌、商业无菌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18</w:t>
            </w: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炒货食品及坚果制品</w:t>
            </w: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炒货食品及坚果制品</w:t>
            </w: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炒货食品及坚果制品（烘炒类、油炸类、其他类）</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开心果、杏仁、扁桃仁、松仁、瓜子</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一般</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酸价（以脂肪计）、过氧化值（以脂肪计）、铅（以Pb计）、黄曲霉毒素B</w:t>
            </w:r>
            <w:r>
              <w:rPr>
                <w:rStyle w:val="10"/>
                <w:rFonts w:hint="default" w:ascii="Times New Roman" w:hAnsi="Times New Roman" w:eastAsia="仿宋" w:cs="Times New Roman"/>
                <w:sz w:val="22"/>
                <w:szCs w:val="22"/>
                <w:lang w:val="en-US" w:eastAsia="zh-CN"/>
              </w:rPr>
              <w:t>1</w:t>
            </w:r>
            <w:r>
              <w:rPr>
                <w:rStyle w:val="11"/>
                <w:rFonts w:hint="default" w:ascii="Times New Roman" w:hAnsi="Times New Roman" w:eastAsia="仿宋" w:cs="Times New Roman"/>
                <w:sz w:val="22"/>
                <w:szCs w:val="22"/>
                <w:lang w:val="en-US" w:eastAsia="zh-CN"/>
              </w:rPr>
              <w:t>、糖精钠（以糖精计）、甜蜜素（以环己基氨基磺酸计）、大肠菌群、霉菌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其他炒货食品及坚果制品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一般</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酸价（以脂肪计）、过氧化值（以脂肪计）、铅（以Pb计）、黄曲霉毒素B</w:t>
            </w:r>
            <w:r>
              <w:rPr>
                <w:rStyle w:val="10"/>
                <w:rFonts w:hint="default" w:ascii="Times New Roman" w:hAnsi="Times New Roman" w:eastAsia="仿宋" w:cs="Times New Roman"/>
                <w:sz w:val="22"/>
                <w:szCs w:val="22"/>
                <w:lang w:val="en-US" w:eastAsia="zh-CN"/>
              </w:rPr>
              <w:t>1</w:t>
            </w:r>
            <w:r>
              <w:rPr>
                <w:rStyle w:val="11"/>
                <w:rFonts w:hint="default" w:ascii="Times New Roman" w:hAnsi="Times New Roman" w:eastAsia="仿宋" w:cs="Times New Roman"/>
                <w:sz w:val="22"/>
                <w:szCs w:val="22"/>
                <w:lang w:val="en-US" w:eastAsia="zh-CN"/>
              </w:rPr>
              <w:t>、苯甲酸及其钠盐（以苯甲酸计）、山梨酸及其钾盐（以山梨酸计）、脱氢乙酸及其钠盐（以脱氢乙酸计）、糖精钠（以糖精计）、甜蜜素（以环己基氨基磺酸计）、大肠菌群、霉菌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19</w:t>
            </w: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蛋制品</w:t>
            </w: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蛋制品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再制蛋</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再制蛋</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较高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铅（以Pb计）、苯甲酸及其钠盐（以苯甲酸计）、山梨酸及其钾盐（以山梨酸计）、菌落总数、大肠菌群、沙门氏菌、商业无菌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干蛋类</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干蛋类</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较高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苯甲酸及其钠盐（以苯甲酸计）、山梨酸及其钾盐（以山梨酸计）、菌落总数、大肠菌群、沙门氏菌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其他类</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其他类</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较高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铅（以Pb计）、苯甲酸及其钠盐（以苯甲酸计）、山梨酸及其钾盐（以山梨酸计）、菌落总数、大肠菌群、沙门氏菌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20</w:t>
            </w: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可可及焙烤咖啡产品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焙炒咖啡</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焙炒咖啡</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焙炒咖啡</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一般</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咖啡因、铅（以Pb计）、赭曲霉毒素A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可可制品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可可制品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可可制品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一般</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铅（以Pb计）、沙门氏菌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21</w:t>
            </w: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食糖</w:t>
            </w: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食糖</w:t>
            </w: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食糖</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白砂糖</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一般</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蔗糖分、还原糖分、色值、二氧化硫残留量、螨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绵白糖</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一般</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总糖分、还原糖分、色值、干燥失重、二氧化硫残留量、螨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赤砂糖</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一般</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总糖分、不溶于水杂质、干燥失重、二氧化硫残留量、螨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红糖</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一般</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总糖分、不溶于水杂质、干燥失重、螨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冰糖</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一般</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蔗糖分、还原糖分、色值、二氧化硫残留量、螨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冰片糖</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一般</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总糖分、还原糖分、螨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方糖</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一般</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蔗糖分、还原糖分、色值、二氧化硫残留量、螨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其他糖</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一般</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蔗糖分、总糖分、还原糖分、色值、二氧化硫残留量、螨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22</w:t>
            </w: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水产制品</w:t>
            </w: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水产制品</w:t>
            </w: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干制水产品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藻类干制品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较高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铅（以Pb计）、菌落总数、大肠菌群、沙门氏菌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预制动物性水产干制品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较高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镉（以Cd计）、苯甲酸及其钠盐（以苯甲酸计）、山梨酸及其钾盐（以山梨酸计）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盐渍水产品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盐渍鱼</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较高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过氧化值（以脂肪计）、组胺、苯甲酸及其钠盐（以苯甲酸计）、山梨酸及其钾盐（以山梨酸计）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盐渍藻</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较高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铅（以Pb计）、苯甲酸及其钠盐（以苯甲酸计）、山梨酸及其钾盐（以山梨酸计）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其他盐渍水产品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较高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苯甲酸及其钠盐（以苯甲酸计）、山梨酸及其钾盐（以山梨酸计）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鱼糜制品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预制鱼糜制品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较高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苯甲酸及其钠盐（以苯甲酸计）、山梨酸及其钾盐（以山梨酸计）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熟制动物性水产制品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熟制动物性水产制品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镉（以Cd计）、苯甲酸及其钠盐（以苯甲酸计）、山梨酸及其钾盐（以山梨酸计）、糖精钠（以糖精计）、脱氢乙酸及其钠盐（以脱氢乙酸计）、沙门氏菌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生食水产品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生食动物性水产品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挥发性盐基氮、苯甲酸及其钠盐（以苯甲酸计）、山梨酸及其钾盐（以山梨酸计）、铝的残留量（以即食海蜇中Al计）、菌落总数、大肠菌群、沙门氏菌、副溶血性弧菌、单核细胞增生李斯特氏菌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其他水产制品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其他水产制品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一般</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铅（以Pb计）、苯甲酸及其钠盐（以苯甲酸计）、山梨酸及其钾盐（以山梨酸计）、脱氢乙酸及其钠盐（以脱氢乙酸计）、沙门氏菌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23</w:t>
            </w: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淀粉及淀粉制品</w:t>
            </w: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淀粉及淀粉制品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淀粉</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淀粉</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一般</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铅（以Pb计）、菌落总数、大肠菌群、霉菌和酵母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淀粉制品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粉丝粉条</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较高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铅（以Pb计）、苯甲酸及其钠盐（以苯甲酸计）、山梨酸及其钾盐（以山梨酸计）、铝的残留量（干样品，以A1计）、二氧化硫残留量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其他淀粉制品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较高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苯甲酸及其钠盐（以苯甲酸计）、山梨酸及其钾盐（以山梨酸计）、铝的残留量（干样品，以A1计）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淀粉糖</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淀粉糖</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一般</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铅（以Pb计）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0" w:hRule="atLeast"/>
        </w:trPr>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24</w:t>
            </w: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糕点</w:t>
            </w: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糕点</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糕点</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糕点</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较高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酸价（以脂肪计）、过氧化值（以脂肪计）、铅（以Pb计）、苯甲酸及其钠盐（以苯甲酸计）、山梨酸及其钾盐（以山梨酸计）、糖精钠（以糖精计）、甜蜜素（以环己基氨基磺酸计）、安赛蜜、铝的残留量（干样品，以Al计）、丙酸及其钠盐、钙盐（以丙酸计）、脱氢乙酸及其钠盐（以脱氢乙酸计）、纳他霉素、三氯蔗糖、丙二醇、防腐剂混合使用时各自用量占其最大使用量的比例之和、菌落总数、大肠菌群、金黄色葡萄球菌、沙门氏菌、霉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月饼</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月饼</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较高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酸价（以脂肪计）、过氧化值（以脂肪计）、糖精钠（以糖精计）、苯甲酸及其钠盐（以苯甲酸计）、山梨酸及其钾盐（以山梨酸计）、铝的残留量（干样品，以A1计）、丙酸及其钠盐、钙盐（以丙酸计）、脱氢乙酸及其钠盐（以脱氢乙酸计）、纳他霉素、防腐剂混合使用时各自用量占其最大使用量的比例之和、菌落总数、大肠菌群、金黄色葡萄球菌、沙门氏菌、霉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粽子</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粽子</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粽子</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较高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山梨酸及其钾盐（以山梨酸计）、糖精钠（以糖精计）、安赛蜜、菌落总数、大肠菌群、金黄色葡萄球菌、沙门氏菌、霉菌、商业无菌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0" w:hRule="atLeast"/>
        </w:trPr>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25</w:t>
            </w: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豆制品</w:t>
            </w: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豆制品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发酵性豆制品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腐乳、豆豉、纳豆等</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较高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黄曲霉毒素B</w:t>
            </w:r>
            <w:r>
              <w:rPr>
                <w:rStyle w:val="10"/>
                <w:rFonts w:hint="default" w:ascii="Times New Roman" w:hAnsi="Times New Roman" w:eastAsia="仿宋" w:cs="Times New Roman"/>
                <w:sz w:val="22"/>
                <w:szCs w:val="22"/>
                <w:lang w:val="en-US" w:eastAsia="zh-CN"/>
              </w:rPr>
              <w:t>1</w:t>
            </w:r>
            <w:r>
              <w:rPr>
                <w:rStyle w:val="11"/>
                <w:rFonts w:hint="default" w:ascii="Times New Roman" w:hAnsi="Times New Roman" w:eastAsia="仿宋" w:cs="Times New Roman"/>
                <w:sz w:val="22"/>
                <w:szCs w:val="22"/>
                <w:lang w:val="en-US" w:eastAsia="zh-CN"/>
              </w:rPr>
              <w:t>、苯甲酸及其钠盐（以苯甲酸计）、山梨酸及其钾盐（以山梨酸计）、脱氢乙酸及其钠盐（以脱氢乙酸计）、糖精钠（以糖精计）、甜蜜素（以环己基氨基磺酸计）、铝的残留量（干样品，以A1计）、大肠菌群、沙门氏菌、金黄色葡萄球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非发酵性豆制品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豆干、豆腐、豆皮等</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较高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铅（以Pb计）、苯甲酸及其钠盐（以苯甲酸计）、山梨酸及其钾盐（以山梨酸计）、脱氢乙酸及其钠盐（以脱氢乙酸计）、丙酸及其钠盐、钙盐（以丙酸计）、防腐剂混合使用时各自用量占其最大使用量的比例之和、糖精钠（以糖精计）、三氯蔗糖、铝的残留量（干样品，以A1计）、大肠菌群、沙门氏菌、金黄色葡萄球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腐竹、油皮及其再制品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较高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蛋白质、铅（以Pb计）、苯甲酸及其钠盐（以苯甲酸计）、山梨酸及其钾盐（以山梨酸计）、脱氢乙酸及其钠盐（以脱氢乙酸计）、铝的残留量（干样品，以A1计）、沙门氏菌、金黄色葡萄球菌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其他豆制品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大豆蛋白类制品等</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较高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苯甲酸及其钠盐（以苯甲酸计）、山梨酸及其钾盐（以山梨酸计）、脱氢乙酸及其钠盐（以脱氢乙酸计）、糖精钠（以糖精计）、铝的残留量（干样品，以Al计）、大肠菌群、沙门氏菌、金黄色葡萄球菌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26</w:t>
            </w: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蜂产品</w:t>
            </w: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蜂产品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蜂蜜</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蜂蜜</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果糖和葡萄糖、蔗糖、菌落总数、霉菌计数、嗜渗酵母计数、甲硝唑、地美硝唑、氯霉素、洛硝达唑、呋喃妥因代谢物、呋喃西林代谢物、呋喃唑酮代谢物、山梨酸及其钾盐（以山梨酸计）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蜂王浆（含蜂王浆冻干粉）</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蜂王浆（含蜂王浆冻干粉）</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一般</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10-羟基-2-癸烯酸、酸度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蜂花粉</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蜂花粉</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一般</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铅（以Pb计）、菌落总数、大肠菌群、霉菌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蜂产品制品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蜂产品制品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一般</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山梨酸及其钾盐（以山梨酸计）、菌落总数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10" w:hRule="atLeast"/>
        </w:trPr>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27</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保健食品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保健食品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保健食品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保健食品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较高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功效/标志性成分、水分、可溶性固形物、酸价、过氧化值、崩解时限、铅（Pb）、总砷（As总汞（Hg）、硬胶囊壳中的铬、西布曲明、N-单去甲基西布曲明、N，N-双去甲基西布曲明、麻黄碱、芬氟拉明、酚酞、甲苯磺丁脲、格列苯脲、格列齐特、格列吡嗪、格列喹酮、格列美脲、马来酸罗格列酮、瑞格列奈、盐酸吡格列酮、盐酸二甲双胍、盐酸苯乙双胍、盐酸丁二胍、格列波脲、那红地那非、红地那非、伐地那非、羟基豪莫西地那非、西地那非、豪莫西地那非、氨基他达拉非、他达拉非、硫代艾地那非、伪伐地那非、那莫西地那非、阿替洛尔、盐酸可乐定、氢氯噻嗪、卡托普利、哌唑嗪、利血平、硝苯地平、氨氯地平、尼群地平、尼莫地平、尼索地平、非洛地平、菌落总数、大肠菌群、霉菌和酵母、金黄色葡萄球菌、沙门氏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0" w:hRule="atLeast"/>
        </w:trPr>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28</w:t>
            </w: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特殊膳食食品</w:t>
            </w: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婴幼儿辅助食品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婴幼儿谷类辅助食品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婴幼儿谷物辅助食品、婴幼儿高蛋白谷物辅助食品、婴幼儿生制类谷物辅助食品、婴幼儿饼干或其他婴幼儿谷物辅助食品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能量、蛋白质、脂肪、亚油酸、月桂酸占总脂肪的比值、肉豆蔻酸占总脂肪的比值、维生素A、维生素D、维生素B</w:t>
            </w:r>
            <w:r>
              <w:rPr>
                <w:rFonts w:hint="default" w:ascii="Times New Roman" w:hAnsi="Times New Roman" w:eastAsia="仿宋" w:cs="Times New Roman"/>
                <w:i w:val="0"/>
                <w:color w:val="000000"/>
                <w:kern w:val="0"/>
                <w:sz w:val="22"/>
                <w:szCs w:val="22"/>
                <w:u w:val="none"/>
                <w:vertAlign w:val="subscript"/>
                <w:lang w:val="en-US" w:eastAsia="zh-CN"/>
              </w:rPr>
              <w:t>1</w:t>
            </w:r>
            <w:r>
              <w:rPr>
                <w:rFonts w:hint="default" w:ascii="Times New Roman" w:hAnsi="Times New Roman" w:eastAsia="仿宋" w:cs="Times New Roman"/>
                <w:i w:val="0"/>
                <w:color w:val="000000"/>
                <w:kern w:val="0"/>
                <w:sz w:val="22"/>
                <w:szCs w:val="22"/>
                <w:u w:val="none"/>
                <w:lang w:val="en-US" w:eastAsia="zh-CN"/>
              </w:rPr>
              <w:t>、钙、铁、锌、钠、维生素E、维生素B</w:t>
            </w:r>
            <w:r>
              <w:rPr>
                <w:rFonts w:hint="default" w:ascii="Times New Roman" w:hAnsi="Times New Roman" w:eastAsia="仿宋" w:cs="Times New Roman"/>
                <w:i w:val="0"/>
                <w:color w:val="000000"/>
                <w:kern w:val="0"/>
                <w:sz w:val="22"/>
                <w:szCs w:val="22"/>
                <w:u w:val="none"/>
                <w:vertAlign w:val="subscript"/>
                <w:lang w:val="en-US" w:eastAsia="zh-CN"/>
              </w:rPr>
              <w:t>2</w:t>
            </w:r>
            <w:r>
              <w:rPr>
                <w:rFonts w:hint="default" w:ascii="Times New Roman" w:hAnsi="Times New Roman" w:eastAsia="仿宋" w:cs="Times New Roman"/>
                <w:i w:val="0"/>
                <w:color w:val="000000"/>
                <w:kern w:val="0"/>
                <w:sz w:val="22"/>
                <w:szCs w:val="22"/>
                <w:u w:val="none"/>
                <w:lang w:val="en-US" w:eastAsia="zh-CN"/>
              </w:rPr>
              <w:t>、维生素B</w:t>
            </w:r>
            <w:r>
              <w:rPr>
                <w:rFonts w:hint="default" w:ascii="Times New Roman" w:hAnsi="Times New Roman" w:eastAsia="仿宋" w:cs="Times New Roman"/>
                <w:i w:val="0"/>
                <w:color w:val="000000"/>
                <w:kern w:val="0"/>
                <w:sz w:val="22"/>
                <w:szCs w:val="22"/>
                <w:u w:val="none"/>
                <w:vertAlign w:val="subscript"/>
                <w:lang w:val="en-US" w:eastAsia="zh-CN"/>
              </w:rPr>
              <w:t>6</w:t>
            </w:r>
            <w:r>
              <w:rPr>
                <w:rFonts w:hint="default" w:ascii="Times New Roman" w:hAnsi="Times New Roman" w:eastAsia="仿宋" w:cs="Times New Roman"/>
                <w:i w:val="0"/>
                <w:color w:val="000000"/>
                <w:kern w:val="0"/>
                <w:sz w:val="22"/>
                <w:szCs w:val="22"/>
                <w:u w:val="none"/>
                <w:lang w:val="en-US" w:eastAsia="zh-CN"/>
              </w:rPr>
              <w:t>、维生素B</w:t>
            </w:r>
            <w:r>
              <w:rPr>
                <w:rFonts w:hint="default" w:ascii="Times New Roman" w:hAnsi="Times New Roman" w:eastAsia="仿宋" w:cs="Times New Roman"/>
                <w:i w:val="0"/>
                <w:color w:val="000000"/>
                <w:kern w:val="0"/>
                <w:sz w:val="22"/>
                <w:szCs w:val="22"/>
                <w:u w:val="none"/>
                <w:vertAlign w:val="subscript"/>
                <w:lang w:val="en-US" w:eastAsia="zh-CN"/>
              </w:rPr>
              <w:t>12</w:t>
            </w:r>
            <w:r>
              <w:rPr>
                <w:rFonts w:hint="default" w:ascii="Times New Roman" w:hAnsi="Times New Roman" w:eastAsia="仿宋" w:cs="Times New Roman"/>
                <w:i w:val="0"/>
                <w:color w:val="000000"/>
                <w:kern w:val="0"/>
                <w:sz w:val="22"/>
                <w:szCs w:val="22"/>
                <w:u w:val="none"/>
                <w:lang w:val="en-US" w:eastAsia="zh-CN"/>
              </w:rPr>
              <w:t>烟酸、叶酸、泛酸、维生素C、生物素、磷、碘、钾、水分、不溶性膳食纤维、脲酶活性定性测定、铅（以Pb计）、无机砷（以As计）、锡（以Sn计）、镉（以Cd计）、黄曲霉毒素B</w:t>
            </w:r>
            <w:r>
              <w:rPr>
                <w:rFonts w:hint="default" w:ascii="Times New Roman" w:hAnsi="Times New Roman" w:eastAsia="仿宋" w:cs="Times New Roman"/>
                <w:i w:val="0"/>
                <w:color w:val="000000"/>
                <w:kern w:val="0"/>
                <w:sz w:val="22"/>
                <w:szCs w:val="22"/>
                <w:u w:val="none"/>
                <w:vertAlign w:val="subscript"/>
                <w:lang w:val="en-US" w:eastAsia="zh-CN"/>
              </w:rPr>
              <w:t>1</w:t>
            </w:r>
            <w:r>
              <w:rPr>
                <w:rFonts w:hint="default" w:ascii="Times New Roman" w:hAnsi="Times New Roman" w:eastAsia="仿宋" w:cs="Times New Roman"/>
                <w:i w:val="0"/>
                <w:color w:val="000000"/>
                <w:kern w:val="0"/>
                <w:sz w:val="22"/>
                <w:szCs w:val="22"/>
                <w:u w:val="none"/>
                <w:lang w:val="en-US" w:eastAsia="zh-CN"/>
              </w:rPr>
              <w:t>、硝酸盐（以NaNO3计）、亚硝酸盐（以NaNO2计）、菌落总数、大肠菌群、沙门氏菌、二十二碳六烯酸、花生四烯酸、金黄色葡萄球菌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婴幼儿罐装辅助食品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泥（糊）状罐装食品、颗粒状罐装食品、汁类罐装食品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蛋白质、脂肪、总钠、铅（以Pb计）、无机砷（以As计）、总汞（以Hg计）、锡（以Sn计）、硝酸盐（以NaNO3计）、亚硝酸盐（以NaNO2计）、商业无菌、霉菌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8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营养补充品</w:t>
            </w: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营养补充品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辅食营养素补充食品、辅食营养素补充片、辅食营养素撒剂</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蛋白质、钙、铁、锌、维生素A、维生素D、维生素B</w:t>
            </w:r>
            <w:r>
              <w:rPr>
                <w:rStyle w:val="10"/>
                <w:rFonts w:hint="default" w:ascii="Times New Roman" w:hAnsi="Times New Roman" w:eastAsia="仿宋" w:cs="Times New Roman"/>
                <w:sz w:val="22"/>
                <w:szCs w:val="22"/>
                <w:lang w:val="en-US" w:eastAsia="zh-CN"/>
              </w:rPr>
              <w:t>1</w:t>
            </w:r>
            <w:r>
              <w:rPr>
                <w:rStyle w:val="11"/>
                <w:rFonts w:hint="default" w:ascii="Times New Roman" w:hAnsi="Times New Roman" w:eastAsia="仿宋" w:cs="Times New Roman"/>
                <w:sz w:val="22"/>
                <w:szCs w:val="22"/>
                <w:lang w:val="en-US" w:eastAsia="zh-CN"/>
              </w:rPr>
              <w:t>、维生素B</w:t>
            </w:r>
            <w:r>
              <w:rPr>
                <w:rStyle w:val="10"/>
                <w:rFonts w:hint="default" w:ascii="Times New Roman" w:hAnsi="Times New Roman" w:eastAsia="仿宋" w:cs="Times New Roman"/>
                <w:sz w:val="22"/>
                <w:szCs w:val="22"/>
                <w:lang w:val="en-US" w:eastAsia="zh-CN"/>
              </w:rPr>
              <w:t>2</w:t>
            </w:r>
            <w:r>
              <w:rPr>
                <w:rStyle w:val="11"/>
                <w:rFonts w:hint="default" w:ascii="Times New Roman" w:hAnsi="Times New Roman" w:eastAsia="仿宋" w:cs="Times New Roman"/>
                <w:sz w:val="22"/>
                <w:szCs w:val="22"/>
                <w:lang w:val="en-US" w:eastAsia="zh-CN"/>
              </w:rPr>
              <w:t>、维生素K</w:t>
            </w:r>
            <w:r>
              <w:rPr>
                <w:rStyle w:val="10"/>
                <w:rFonts w:hint="default" w:ascii="Times New Roman" w:hAnsi="Times New Roman" w:eastAsia="仿宋" w:cs="Times New Roman"/>
                <w:sz w:val="22"/>
                <w:szCs w:val="22"/>
                <w:lang w:val="en-US" w:eastAsia="zh-CN"/>
              </w:rPr>
              <w:t>1</w:t>
            </w:r>
            <w:r>
              <w:rPr>
                <w:rStyle w:val="11"/>
                <w:rFonts w:hint="default" w:ascii="Times New Roman" w:hAnsi="Times New Roman" w:eastAsia="仿宋" w:cs="Times New Roman"/>
                <w:sz w:val="22"/>
                <w:szCs w:val="22"/>
                <w:lang w:val="en-US" w:eastAsia="zh-CN"/>
              </w:rPr>
              <w:t>、烟酸（烟酰胺）、维生素B</w:t>
            </w:r>
            <w:r>
              <w:rPr>
                <w:rStyle w:val="10"/>
                <w:rFonts w:hint="default" w:ascii="Times New Roman" w:hAnsi="Times New Roman" w:eastAsia="仿宋" w:cs="Times New Roman"/>
                <w:sz w:val="22"/>
                <w:szCs w:val="22"/>
                <w:lang w:val="en-US" w:eastAsia="zh-CN"/>
              </w:rPr>
              <w:t>6</w:t>
            </w:r>
            <w:r>
              <w:rPr>
                <w:rStyle w:val="11"/>
                <w:rFonts w:hint="default" w:ascii="Times New Roman" w:hAnsi="Times New Roman" w:eastAsia="仿宋" w:cs="Times New Roman"/>
                <w:sz w:val="22"/>
                <w:szCs w:val="22"/>
                <w:lang w:val="en-US" w:eastAsia="zh-CN"/>
              </w:rPr>
              <w:t>、叶酸、维生素B</w:t>
            </w:r>
            <w:r>
              <w:rPr>
                <w:rStyle w:val="10"/>
                <w:rFonts w:hint="default" w:ascii="Times New Roman" w:hAnsi="Times New Roman" w:eastAsia="仿宋" w:cs="Times New Roman"/>
                <w:sz w:val="22"/>
                <w:szCs w:val="22"/>
                <w:lang w:val="en-US" w:eastAsia="zh-CN"/>
              </w:rPr>
              <w:t>12</w:t>
            </w:r>
            <w:r>
              <w:rPr>
                <w:rStyle w:val="11"/>
                <w:rFonts w:hint="default" w:ascii="Times New Roman" w:hAnsi="Times New Roman" w:eastAsia="仿宋" w:cs="Times New Roman"/>
                <w:sz w:val="22"/>
                <w:szCs w:val="22"/>
                <w:lang w:val="en-US" w:eastAsia="zh-CN"/>
              </w:rPr>
              <w:t>、泛酸、胆碱、生物素、维生素C、二十二碳六烯酸、脲酶活性定性、铅（以Pb计）、总砷（以As计）、黄曲霉毒素M</w:t>
            </w:r>
            <w:r>
              <w:rPr>
                <w:rStyle w:val="10"/>
                <w:rFonts w:hint="default" w:ascii="Times New Roman" w:hAnsi="Times New Roman" w:eastAsia="仿宋" w:cs="Times New Roman"/>
                <w:sz w:val="22"/>
                <w:szCs w:val="22"/>
                <w:lang w:val="en-US" w:eastAsia="zh-CN"/>
              </w:rPr>
              <w:t>1</w:t>
            </w:r>
            <w:r>
              <w:rPr>
                <w:rStyle w:val="11"/>
                <w:rFonts w:hint="default" w:ascii="Times New Roman" w:hAnsi="Times New Roman" w:eastAsia="仿宋" w:cs="Times New Roman"/>
                <w:sz w:val="22"/>
                <w:szCs w:val="22"/>
                <w:lang w:val="en-US" w:eastAsia="zh-CN"/>
              </w:rPr>
              <w:t>、黄曲霉毒素B</w:t>
            </w:r>
            <w:r>
              <w:rPr>
                <w:rStyle w:val="10"/>
                <w:rFonts w:hint="default" w:ascii="Times New Roman" w:hAnsi="Times New Roman" w:eastAsia="仿宋" w:cs="Times New Roman"/>
                <w:sz w:val="22"/>
                <w:szCs w:val="22"/>
                <w:lang w:val="en-US" w:eastAsia="zh-CN"/>
              </w:rPr>
              <w:t>1</w:t>
            </w:r>
            <w:r>
              <w:rPr>
                <w:rStyle w:val="11"/>
                <w:rFonts w:hint="default" w:ascii="Times New Roman" w:hAnsi="Times New Roman" w:eastAsia="仿宋" w:cs="Times New Roman"/>
                <w:sz w:val="22"/>
                <w:szCs w:val="22"/>
                <w:lang w:val="en-US" w:eastAsia="zh-CN"/>
              </w:rPr>
              <w:t>、硝酸盐（以NaNO</w:t>
            </w:r>
            <w:r>
              <w:rPr>
                <w:rStyle w:val="10"/>
                <w:rFonts w:hint="default" w:ascii="Times New Roman" w:hAnsi="Times New Roman" w:eastAsia="仿宋" w:cs="Times New Roman"/>
                <w:sz w:val="22"/>
                <w:szCs w:val="22"/>
                <w:lang w:val="en-US" w:eastAsia="zh-CN"/>
              </w:rPr>
              <w:t>3</w:t>
            </w:r>
            <w:r>
              <w:rPr>
                <w:rStyle w:val="11"/>
                <w:rFonts w:hint="default" w:ascii="Times New Roman" w:hAnsi="Times New Roman" w:eastAsia="仿宋" w:cs="Times New Roman"/>
                <w:sz w:val="22"/>
                <w:szCs w:val="22"/>
                <w:lang w:val="en-US" w:eastAsia="zh-CN"/>
              </w:rPr>
              <w:t>计）、亚硝酸盐（以NaNO</w:t>
            </w:r>
            <w:r>
              <w:rPr>
                <w:rStyle w:val="10"/>
                <w:rFonts w:hint="default" w:ascii="Times New Roman" w:hAnsi="Times New Roman" w:eastAsia="仿宋" w:cs="Times New Roman"/>
                <w:sz w:val="22"/>
                <w:szCs w:val="22"/>
                <w:lang w:val="en-US" w:eastAsia="zh-CN"/>
              </w:rPr>
              <w:t>2</w:t>
            </w:r>
            <w:r>
              <w:rPr>
                <w:rStyle w:val="11"/>
                <w:rFonts w:hint="default" w:ascii="Times New Roman" w:hAnsi="Times New Roman" w:eastAsia="仿宋" w:cs="Times New Roman"/>
                <w:sz w:val="22"/>
                <w:szCs w:val="22"/>
                <w:lang w:val="en-US" w:eastAsia="zh-CN"/>
              </w:rPr>
              <w:t>计）、菌落总数、大肠菌群、沙门氏菌、金黄色葡萄球菌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孕妇及乳母营养补充食品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铁、维生素A、维生素D、叶酸、维生素B</w:t>
            </w:r>
            <w:r>
              <w:rPr>
                <w:rFonts w:hint="default" w:ascii="Times New Roman" w:hAnsi="Times New Roman" w:eastAsia="仿宋" w:cs="Times New Roman"/>
                <w:i w:val="0"/>
                <w:color w:val="000000"/>
                <w:kern w:val="0"/>
                <w:sz w:val="22"/>
                <w:szCs w:val="22"/>
                <w:u w:val="none"/>
                <w:vertAlign w:val="subscript"/>
                <w:lang w:val="en-US" w:eastAsia="zh-CN"/>
              </w:rPr>
              <w:t>12</w:t>
            </w:r>
            <w:r>
              <w:rPr>
                <w:rFonts w:hint="default" w:ascii="Times New Roman" w:hAnsi="Times New Roman" w:eastAsia="仿宋" w:cs="Times New Roman"/>
                <w:i w:val="0"/>
                <w:color w:val="000000"/>
                <w:kern w:val="0"/>
                <w:sz w:val="22"/>
                <w:szCs w:val="22"/>
                <w:u w:val="none"/>
                <w:lang w:val="en-US" w:eastAsia="zh-CN"/>
              </w:rPr>
              <w:t>、钙、镁、锌、硒、维生素E、维生素K、维生素B</w:t>
            </w:r>
            <w:r>
              <w:rPr>
                <w:rFonts w:hint="default" w:ascii="Times New Roman" w:hAnsi="Times New Roman" w:eastAsia="仿宋" w:cs="Times New Roman"/>
                <w:i w:val="0"/>
                <w:color w:val="000000"/>
                <w:kern w:val="0"/>
                <w:sz w:val="22"/>
                <w:szCs w:val="22"/>
                <w:u w:val="none"/>
                <w:vertAlign w:val="subscript"/>
                <w:lang w:val="en-US" w:eastAsia="zh-CN"/>
              </w:rPr>
              <w:t>1</w:t>
            </w:r>
            <w:r>
              <w:rPr>
                <w:rFonts w:hint="default" w:ascii="Times New Roman" w:hAnsi="Times New Roman" w:eastAsia="仿宋" w:cs="Times New Roman"/>
                <w:i w:val="0"/>
                <w:color w:val="000000"/>
                <w:kern w:val="0"/>
                <w:sz w:val="22"/>
                <w:szCs w:val="22"/>
                <w:u w:val="none"/>
                <w:lang w:val="en-US" w:eastAsia="zh-CN"/>
              </w:rPr>
              <w:t>、维生素B</w:t>
            </w:r>
            <w:r>
              <w:rPr>
                <w:rFonts w:hint="default" w:ascii="Times New Roman" w:hAnsi="Times New Roman" w:eastAsia="仿宋" w:cs="Times New Roman"/>
                <w:i w:val="0"/>
                <w:color w:val="000000"/>
                <w:kern w:val="0"/>
                <w:sz w:val="22"/>
                <w:szCs w:val="22"/>
                <w:u w:val="none"/>
                <w:vertAlign w:val="subscript"/>
                <w:lang w:val="en-US" w:eastAsia="zh-CN"/>
              </w:rPr>
              <w:t>2</w:t>
            </w:r>
            <w:r>
              <w:rPr>
                <w:rFonts w:hint="default" w:ascii="Times New Roman" w:hAnsi="Times New Roman" w:eastAsia="仿宋" w:cs="Times New Roman"/>
                <w:i w:val="0"/>
                <w:color w:val="000000"/>
                <w:kern w:val="0"/>
                <w:sz w:val="22"/>
                <w:szCs w:val="22"/>
                <w:u w:val="none"/>
                <w:lang w:val="en-US" w:eastAsia="zh-CN"/>
              </w:rPr>
              <w:t>、维生素B</w:t>
            </w:r>
            <w:r>
              <w:rPr>
                <w:rFonts w:hint="default" w:ascii="Times New Roman" w:hAnsi="Times New Roman" w:eastAsia="仿宋" w:cs="Times New Roman"/>
                <w:i w:val="0"/>
                <w:color w:val="000000"/>
                <w:kern w:val="0"/>
                <w:sz w:val="22"/>
                <w:szCs w:val="22"/>
                <w:u w:val="none"/>
                <w:vertAlign w:val="subscript"/>
                <w:lang w:val="en-US" w:eastAsia="zh-CN"/>
              </w:rPr>
              <w:t>6</w:t>
            </w:r>
            <w:r>
              <w:rPr>
                <w:rFonts w:hint="default" w:ascii="Times New Roman" w:hAnsi="Times New Roman" w:eastAsia="仿宋" w:cs="Times New Roman"/>
                <w:i w:val="0"/>
                <w:color w:val="000000"/>
                <w:kern w:val="0"/>
                <w:sz w:val="22"/>
                <w:szCs w:val="22"/>
                <w:u w:val="none"/>
                <w:lang w:val="en-US" w:eastAsia="zh-CN"/>
              </w:rPr>
              <w:t>、烟酸（烟酰胺）、泛酸、胆碱、生物素、维生素C、二十二碳六烯酸、脲酶活性定性、铅（以Pb计）、总砷（以As计）、硝酸盐（以NaNO3计）、亚硝酸盐（以NaNO2计）、黄曲霉毒素M1、黄曲霉毒素B</w:t>
            </w:r>
            <w:r>
              <w:rPr>
                <w:rFonts w:hint="default" w:ascii="Times New Roman" w:hAnsi="Times New Roman" w:eastAsia="仿宋" w:cs="Times New Roman"/>
                <w:i w:val="0"/>
                <w:color w:val="000000"/>
                <w:kern w:val="0"/>
                <w:sz w:val="22"/>
                <w:szCs w:val="22"/>
                <w:u w:val="none"/>
                <w:vertAlign w:val="subscript"/>
                <w:lang w:val="en-US" w:eastAsia="zh-CN"/>
              </w:rPr>
              <w:t>1</w:t>
            </w:r>
            <w:r>
              <w:rPr>
                <w:rFonts w:hint="default" w:ascii="Times New Roman" w:hAnsi="Times New Roman" w:eastAsia="仿宋" w:cs="Times New Roman"/>
                <w:i w:val="0"/>
                <w:color w:val="000000"/>
                <w:kern w:val="0"/>
                <w:sz w:val="22"/>
                <w:szCs w:val="22"/>
                <w:u w:val="none"/>
                <w:lang w:val="en-US" w:eastAsia="zh-CN"/>
              </w:rPr>
              <w:t>、大肠菌群、沙门氏菌、金黄色葡萄球菌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29</w:t>
            </w: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餐饮食品</w:t>
            </w: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米面及其制品(自制)</w:t>
            </w: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小麦粉制品(自制)</w:t>
            </w:r>
          </w:p>
        </w:tc>
        <w:tc>
          <w:tcPr>
            <w:tcW w:w="924"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发酵面制品(自制)</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较高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苯甲酸及其钠盐（以苯甲酸计）、山梨酸及其钾盐（以山梨酸计）、糖精钠（以糖精计）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油炸面制品(自制)</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较高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铝的残留量（干样品，以Al计）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肉制品(自制)</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熟肉制品(自制)</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肉冻、皮冻(自制)</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铬（以Cr计）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复合调味料(自制)</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半固态调味料(自制)</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火锅调味料(底料、蘸料)(自制)</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较高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罂粟碱、吗啡、可待因、那可丁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水产及水产制品（自制）</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水产及水产制品（自制）</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生食动物性水产品（自制）</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铝的残留量（干样品，以A1计）、吸虫囊蚴、菌落总数、大肠菌群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坚果及籽类食品（自制）</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坚果及籽类食品（自制）</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花生及其制品（自制)</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较高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黄曲霉毒素B</w:t>
            </w:r>
            <w:r>
              <w:rPr>
                <w:rFonts w:hint="default" w:ascii="Times New Roman" w:hAnsi="Times New Roman" w:eastAsia="仿宋" w:cs="Times New Roman"/>
                <w:i w:val="0"/>
                <w:color w:val="000000"/>
                <w:kern w:val="0"/>
                <w:sz w:val="22"/>
                <w:szCs w:val="22"/>
                <w:u w:val="none"/>
                <w:vertAlign w:val="subscript"/>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餐饮具</w:t>
            </w: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复用饮具</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复用餐饮具（餐馆自行消毒）</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较高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阴离子合成洗涤剂（以十二烷基苯磺酸钠计）、大肠菌群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复用餐饮具（集中清洗消毒服务单位消毒）</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较高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阴离子合成洗涤剂（以十二烷基苯磺酸钠计）、大肠菌群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其他餐饮食品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其他餐饮食品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其他餐饮食品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自定项目，方案另行印发。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rPr>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30</w:t>
            </w: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食用农产品</w:t>
            </w: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畜禽肉及副产品</w:t>
            </w: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畜肉</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猪肉</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挥发性盐基氮、恩诺沙星、替米考星、呋喃唑酮代谢物、呋喃西林代谢物、呋喃妥因代谢物、呋喃它酮代谢物、磺胺类（总量）、甲氧苄啶、氯霉素、氟苯尼考、五氯酚酸钠（以五氯酚计）、多西环素、土霉素、克伦特罗、莱克多巴胺、沙丁胺醇、地塞米松、甲硝唑、喹乙醇、氯丙嗪、土霉素/金霉素/四环素（组合含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牛肉</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挥发性盐基氮、恩诺沙星、呋喃唑酮代谢物、呋喃西林代谢物、磺胺类（总量）、甲氧苄啶、氯霉素、氟苯尼考、五氯酚酸钠（以五氯酚计）、多西环素、土霉素、青霉素、克伦特罗、莱克多巴胺、沙丁胺醇、地塞米松、林可霉素、土霉素/金霉素/四环素（组合含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羊肉</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恩诺沙星、呋喃唑酮代谢物、呋喃西林代谢物、磺胺类（总量）、氯霉素、氟苯尼考、五氯酚酸钠（以五氯酚计）、克伦特罗、莱克多巴胺、沙丁胺醇、林可霉素、土霉素/金霉素/四环素（组合含量）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其他畜肉</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呋喃唑酮代谢物、氯霉素、氟苯尼考、五氯酚酸钠（以五氯酚计）、克伦特罗、莱克多巴胺、沙丁胺醇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禽肉</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鸡肉</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挥发性盐基氮、恩诺沙星、沙拉沙星、替米考星、呋喃唑酮代谢物、呋喃西林代谢物、呋喃它酮代谢物、磺胺类（总量）、甲氧苄啶、氯霉素、氟苯尼考、五氯酚酸钠（以五氯酚计）、多西环素、土霉素、金霉素、四环素、甲硝唑、尼卡巴嗪、土霉素/金霉素/四环素（组合含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鸭肉</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恩诺沙星、呋喃唑酮代谢物、呋喃妥因代谢物、磺胺类（总量）、甲氧苄啶、氯霉素、氟苯尼考、五氯酚酸钠（以五氯酚计）、多西环素、土霉素、甲硝唑、土霉素/金霉素/四环素（组合含量）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其他禽肉</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恩诺沙星、呋喃唑酮代谢物、磺胺类（总量）、氯霉素、氟苯尼考、五氯酚酸钠（以五氯酚计）、土霉素、金霉素、土霉素/金霉素/四环素（组合含量）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畜副产品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猪肝</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镉（以Cd计）、总砷（以As计）、恩诺沙星、呋喃唑酮代谢物、呋喃西林代谢物、呋喃妥因代谢物、磺胺类（总量）、甲氧苄啶、氯霉素、氟苯尼考、五氯酚酸钠（以五氯酚计）、多西环素、土霉素、克伦特罗、莱克多巴胺、沙丁胺醇、土霉素/金霉素/四环素（组合含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牛肝</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氟苯尼考、五氯酚酸钠（以五氯酚计）、克伦特罗、莱克多巴胺、沙丁胺醇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羊肝</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恩诺沙星、磺胺类（总量）、氟苯尼考、克伦特罗、莱克多巴胺、沙丁胺醇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猪肾</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恩诺沙星、呋喃西林代谢物、磺胺类（总量）、甲氧苄啶、氯霉素、氟苯尼考、五氯酚酸钠（以五氯酚计）、土霉素、克伦特罗、莱克多巴胺、沙丁胺醇、土霉素/金霉素/四环素（组合含量）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牛肾</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恩诺沙星、氟苯尼考、克伦特罗、莱克多巴胺、沙丁胺醇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羊肾</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镉（以Cd计）、恩诺沙星、克伦特罗、莱克多巴胺、沙丁胺醇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其他畜副产品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呋喃唑酮代谢物、呋喃西林代谢物、氯霉素、五氯酚酸钠（以五氯酚计）、克伦特罗、莱克多巴胺、沙丁胺醇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鸡肝</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恩诺沙星、替米考星、呋喃唑酮代谢物、呋喃西林代谢物、氯霉素、氟苯尼考、五氯酚酸钠（以五氯酚计）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其他禽副产品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恩诺沙星、呋喃唑酮代谢物、呋喃西林代谢物、呋喃妥因代谢物、氯霉素、五氯酚酸钠（以五氯酚计）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蔬菜</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豆芽</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豆芽</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较高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铅（以Pb计）、总汞（以Hg计）、4-氯苯氧乙酸钠（以4-氯苯氧乙酸计）、6-苄基腺嘌呤（6-BA）、亚硫酸盐（以SO2计）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鳞茎类蔬菜</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韭菜</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较高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铅（以Pb计）、镉（以Cd计）、阿维菌素、敌敌畏、啶虫眯、毒死蜱、多菌灵、二甲戊灵、氟虫腈、腐霉利、甲胺磷、甲拌磷、甲基异柳磷、克百威、乐果、六六六、氯氟氰菊酯和高效氯氟氰菊酯、氯氰菊酯和高效氯氰菊酯、水胺硫磷、辛硫磷、氧乐果、乙酰甲胺磷、异菌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鲜食用菌</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鲜食用菌</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较高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镉（以Cd计）、总砷（以As计）、百菌清、氯氟氰菊酯和高效氯氟氰菊酯、氯氰菊酯和高效氯氰菊酯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芸薹属类蔬菜</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结球甘蓝</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较高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甲胺磷、甲基异柳磷、克百威、灭线磷、氧乐果、乙酰甲胺磷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芸薹属类蔬菜</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菜薹</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较高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镉（以Cd计）、阿维菌素、啶虫脒、氟虫腈、甲胺磷、甲拌磷、甲基异柳磷、克百威、联苯菊酯、氧乐果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叶菜类蔬菜</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菠菜</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较高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铅（以Pb计）、镉（以Cd计）、铬（以Cr计）、阿维菌素、毒死蜱、氟虫腈、甲氨基阿维菌素苯甲酸盐、甲拌磷、克百威、六六六、氯氟氰菊酯和高效氯氟氰菊酯、氯氰菊酯和高效氯氰菊酯、氧乐果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茄果类蔬菜</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茄子</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较高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镉（以Cd计）、甲氨基阿维菌素苯甲酸盐、甲胺磷、甲拌磷、甲氰菊酯、克百威、噻虫胺、噻虫嗪、霜霉威和霜霉威盐酸盐、水胺硫磷、氧乐果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茄果类蔬菜</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辣椒</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较高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铅（以Pb计）、镉（以Cd计）、倍硫磷、吡虫啉、吡唑醚菌酯、丙溴磷、敌敌畏、啶虫脒、氟虫腈、甲氨基阿维菌素苯甲酸盐、甲胺磷、甲拌磷、克百威、联苯菊酯、氯氟氰菊酯和高效氯氟氰菊酯、氯氰菊酯和高效氯氰菊酯、噻虫胺、噻虫嗪、杀扑磷、水胺硫磷、氧乐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茄果类蔬菜</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甜椒</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较高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铅（以Pb计）、镉（以Cd计）、阿维菌素、吡虫啉、啶虫脒、甲胺磷、噻虫胺、水胺硫磷、氧乐果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瓜类蔬菜</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黄瓜</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较高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阿维菌素、倍硫磷、哒螨灵、敌敌畏、毒死蜱、腐霉利、甲氨基阿维菌素苯甲酸盐、甲拌磷、克百威、噻虫嗪、氧乐果、乙螨唑、异丙威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根茎类和薯芋类蔬菜</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山药</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较高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铅（以Pb计）、克百威、氯氟氰菊酯和高效氯氟氰菊酯、涕灭威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胡萝卜</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较高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铅（以Pb计）、镉（以Cd计）、氟虫腈、甲拌磷、乐果、氯氟氰菊酯和高效氯氟氰菊酯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根茎类和薯芋类蔬菜</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姜</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较高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铅（以Pb计）、镉（以Cd计）、吡虫啉、甲拌磷、克百威、氯氟氰菊酯和高效氯氟氰菊酯、氯氰菊酯和高效氯氰菊酯、氯唑磷、噻虫胺、噻虫嗪、氧乐果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水生类蔬菜</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莲藕</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较高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铅（以Pb计）、镉（以Cd计）、铬（以Cr计）、总砷（以As计）、克百威、氧乐果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叶菜类蔬菜</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芹菜</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较高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铅（以Pb计）、镉（以Cd计）、阿维菌素、百菌清、苯醚甲环唑、敌敌畏、啶虫脒、毒死蜱、二甲戊灵、氟虫腈、甲拌磷、甲基异柳磷、腈菌唑、克百威、乐果、氯氟氰菊酯和高效氯氟氰菊酯、氯氰菊酯和高效氯氰菊酯、马拉硫磷、灭蝇胺、噻虫胺、噻虫嗪、水胺硫磷、辛硫磷、氧乐果、乙酰甲胺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叶菜类蔬菜</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大白菜</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较高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镉（以Cd计）、阿维菌素、吡虫啉、啶虫脒、毒死蜱、氟虫腈、甲胺磷、甲拌磷、克百威、乐果、水胺硫磷、氧乐果、乙酰甲胺磷、唑虫酰胺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叶菜类蔬菜</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普通白菜</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较高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铅（以Pb计）、镉（以Cd计）、阿维菌素、百菌清、吡虫啉、敌敌畏、啶虫脒、毒死蜱、氟虫腈、甲氨基阿维菌素苯甲酸盐、甲胺磷、甲拌磷、甲基异柳磷、克百威、氯氟氰菊酯和高效氯氟氰菊酯、氯氰菊酯和高效氯氰菊酯、水胺硫磷、氧乐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叶菜类蔬菜</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油麦菜</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较高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阿维菌素、啶虫脒、毒死蜱、氟虫腈、甲胺磷、甲拌磷、腈菌唑、克百威、氯氟氰菊酯和高效氯氟氰菊酯、灭多威、噻虫嗪、水胺硫磷、氧乐果、乙酰甲胺磷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茄果类蔬菜</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番茄</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较高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镉（以Cd计）、敌敌畏、毒死蜱、腐霉利、甲胺磷、甲拌磷、克百威、氯氟氰菊酯和高效氯氟氰菊酯、氯氰菊酯和高效氯氰菊酯、烯酰吗啉、溴氰菊酯、氧乐果、乙酰甲胺磷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豆类蔬菜</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豇豆</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较高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阿维菌素、倍硫磷、啶虫脒、氟虫腈、甲氨基阿维菌素苯甲酸盐、甲胺磷、甲拌磷、甲基异柳磷、克百威、氯氟氰菊酯和高效氯氟氰菊酯、氯氰菊酯和高效氯氰菊酯、氯唑磷、灭多威、灭蝇胺、噻虫胺、噻虫嗪、三唑磷、水胺硫磷、氧乐果、乙酰甲胺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豆类蔬菜</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菜豆</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较高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吡虫啉、多菌灵、甲胺磷、克百威、氯氟氰菊酯和高效氯氟氰菊酯、灭蝇胺、噻虫胺、水胺硫磷、氧乐果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水产品</w:t>
            </w: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淡水产品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淡水鱼</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挥发性盐基氮、孔雀石绿、氯霉素、氟苯尼考、呋喃唑酮代谢物、呋喃西林代谢物、恩诺沙星、磺胺类（总量）、甲氧苄啶、甲硝唑、地西泮、五氯酚酸钠（以五氯酚计）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淡水虾</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镉（以Cd计）、孔雀石绿、氯霉素、呋喃唑酮代谢物、呋喃妥因代谢物、恩诺沙星、土霉素/金霉素/四环素（组合含量）、五氯酚酸钠（以五氯酚计）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淡水蟹</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镉（以Cd计）、孔雀石绿、氯霉素、五氯酚酸钠（以五氯酚计）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海水产品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海水鱼</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挥发性盐基氮、组胺、镉（以Cd计）、孔雀石绿、氯霉素、呋喃唑酮代谢物、呋喃西林代谢物、恩诺沙星、土霉素/金霉素/四环素（组合含量）、磺胺类（总量）、甲氧苄啶、甲硝唑、五氯酚酸钠（以五氯酚计）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海水产品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海水虾</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挥发性盐基氮、镉（以Cd计）、孔雀石绿、氯霉素、呋喃唑酮代谢物、呋喃妥因代谢物、恩诺沙星、土霉素/金霉素/四环素（组合含量）、五氯酚酸钠（以五氯酚计）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海水蟹</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镉（以Cd计）、孔雀石绿、氯霉素、呋喃妥因代谢物、五氯酚酸钠（以五氯酚计）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贝类</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贝类</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镉（以Cd计）、孔雀石绿、氯霉素、氟苯尼考、呋喃唑酮代谢物、呋喃西林代谢物、恩诺沙星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其他水产品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其他水产品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镉（以Cd计）、孔雀石绿、氯霉素、呋喃唑酮代谢物、呋喃西林代谢物、恩诺沙星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水果类</w:t>
            </w: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仁果类水果</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苹果</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较高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敌敌畏、啶虫脒、毒死蜱、甲拌磷、克百威、氧乐果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梨</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较高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吡虫啉、敌敌畏、毒死蜱、多菌灵、克百威、氯氟氰菊酯和高效氯氟氰菊酯、氧乐果、水胺硫磷、苯醚甲环唑、甲基硫菌灵、咪鲜胺和咪鲜胺锰盐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核果类水果</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枣</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较高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多菌灵、氟虫腈、氰戊菊酯和S-氰戊菊酯、氧乐果、糖精钠（以糖精计）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桃</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较高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苯醚甲环唑、敌敌畏、多菌灵、氟硅唑、甲胺磷、克百威、氧乐果、溴氰菊酯、吡虫啉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油桃</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较高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多菌灵、甲胺磷、克百威、氧乐果、敌敌畏、苯醚甲环唑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柑橘类水果</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柑、橘</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较高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苯醚甲环唑、丙溴磷、克百威、联苯菊酯、氯唑磷、三唑磷、水胺硫磷、氧乐果、氯氟氰菊酯和高效氯氟氰菊酯、甲拌磷、2,4-滴和2,4-滴钠盐、狄氏剂、毒死蜱、杀扑磷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柚</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较高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水胺硫磷、联苯菊酯、氯氟氰菊酯和高效氯氟氰菊酯、氯唑磷、多菌灵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柠檬</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较高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多菌灵、克百威、联苯菊酯、水胺硫磷、乙螨唑、氰戊菊酯和S-氰戊菊酯、草甘膦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橙</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较高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丙溴磷、多菌灵、克百威、联苯菊酯、三唑磷、杀扑磷、水胺硫磷、氧乐果、2,4-滴和2,4滴钠盐、苯醚甲环唑、狄氏剂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浆果和其他小型水果</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葡萄</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较高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苯醚甲环唑、己唑醇、甲胺磷、克百威、氯氰菊酯和高效氯氰菊酯、嘧霉胺、氰戊菊酯和S-氰戊菊酯、霜霉威和霜霉威盐酸盐、辛硫磷、氧乐果、氯氟氰菊酯和高效氯氟氰菊酯、烯酰吗啉、氟虫腈、氯吡脲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草莓</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较高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阿维菌素、敌敌畏、多菌灵、克百威、烯酰吗啉、氧乐果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猕猴桃</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较高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敌敌畏、多菌灵、氯吡脲、氧乐果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热带和亚热带水果</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香蕉</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较高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苯醚甲环唑、吡唑醚菌酯、多菌灵、氟虫腈、甲拌磷、腈苯唑、吡虫啉、噻虫胺、噻虫嗪、氟环唑、联苯菊酯、烯唑醇、百菌清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芒果</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较高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苯醚甲环唑、多菌灵、嘧菌酯、戊唑醇、氧乐果、吡唑醚菌酯、噻虫胺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火龙果</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较高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氟虫腈、甲胺磷、克百威、氧乐果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荔枝</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较高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多菌灵、氧乐果、毒死蜱、苯醚甲环唑、氯氰菊酯和高效氯氰菊酯、氯氟氰菊酯和高效氯氟氰菊酯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瓜果类水果</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西瓜</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较高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克百威、噻虫嗪、氧乐果、乙酰甲胺磷、苯醚甲环唑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甜瓜类</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较高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克百威、烯酰吗啉、氧乐果、乙酰甲胺磷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鲜蛋</w:t>
            </w: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鲜蛋</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鸡蛋</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氯霉素、甲硝唑、地美硝唑、呋喃唑酮代谢物、氟虫腈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其他禽蛋</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氯霉素、呋喃唑酮代谢物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豆类</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豆类</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豆类</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一般</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铅（以Pb计）、铬（以Cr计）、赭曲霉毒素A、吡虫啉、2,4-滴和2,4-滴钠盐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生干坚果与籽类食品</w:t>
            </w: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生干坚果与籽类食品</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生干坚果</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一般</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酸价（以脂肪计）、过氧化值（以脂肪计）、铅（以Pb计）、螺螨酯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生干籽类</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一般</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酸价（以脂肪计）、过氧化值（以脂肪计）、铅（以Pb计）、镉（以Cd计）、黄曲霉毒素B</w:t>
            </w:r>
            <w:r>
              <w:rPr>
                <w:rStyle w:val="10"/>
                <w:rFonts w:hint="default" w:ascii="Times New Roman" w:hAnsi="Times New Roman" w:eastAsia="仿宋" w:cs="Times New Roman"/>
                <w:sz w:val="22"/>
                <w:szCs w:val="22"/>
                <w:lang w:val="en-US" w:eastAsia="zh-CN"/>
              </w:rPr>
              <w:t>1</w:t>
            </w:r>
            <w:r>
              <w:rPr>
                <w:rStyle w:val="11"/>
                <w:rFonts w:hint="default" w:ascii="Times New Roman" w:hAnsi="Times New Roman" w:eastAsia="仿宋" w:cs="Times New Roman"/>
                <w:sz w:val="22"/>
                <w:szCs w:val="22"/>
                <w:lang w:val="en-US" w:eastAsia="zh-CN"/>
              </w:rPr>
              <w:t>、苯醚甲环唑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31</w:t>
            </w: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食品添加剂</w:t>
            </w: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食品添加剂</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增稠剂</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明胶</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较高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铬（Cr）、铅（Pb）、总砷（As）、二氧化硫、过氧化物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复配食品添加剂</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复配食品添加剂</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较高</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铅（Pb）、砷（以As计）、致病性微生物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食品用香精</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食品用香精</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一般</w:t>
            </w:r>
          </w:p>
        </w:tc>
        <w:tc>
          <w:tcPr>
            <w:tcW w:w="8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砷（以As计）含量/无机砷含量、菌落总数</w:t>
            </w:r>
          </w:p>
        </w:tc>
      </w:tr>
    </w:tbl>
    <w:p>
      <w:pPr>
        <w:widowControl w:val="0"/>
        <w:wordWrap/>
        <w:adjustRightInd/>
        <w:snapToGrid/>
        <w:spacing w:before="0" w:after="0" w:line="560" w:lineRule="exact"/>
        <w:ind w:right="0"/>
        <w:jc w:val="both"/>
        <w:textAlignment w:val="auto"/>
        <w:rPr>
          <w:rFonts w:hint="eastAsia" w:ascii="方正小标宋简体" w:hAnsi="方正小标宋简体" w:eastAsia="方正小标宋简体" w:cs="方正小标宋简体"/>
          <w:sz w:val="44"/>
          <w:szCs w:val="44"/>
          <w:lang w:val="en-US" w:eastAsia="zh-CN"/>
        </w:rPr>
        <w:sectPr>
          <w:pgSz w:w="16838" w:h="11906" w:orient="landscape"/>
          <w:pgMar w:top="1800" w:right="1440" w:bottom="1800" w:left="1440" w:header="851" w:footer="992" w:gutter="0"/>
          <w:pgNumType w:fmt="numberInDash"/>
          <w:cols w:space="720" w:num="1"/>
          <w:docGrid w:type="lines" w:linePitch="312" w:charSpace="0"/>
        </w:sectPr>
      </w:pPr>
    </w:p>
    <w:p>
      <w:pPr>
        <w:widowControl w:val="0"/>
        <w:wordWrap/>
        <w:adjustRightInd/>
        <w:snapToGrid/>
        <w:spacing w:before="0" w:after="0" w:line="560" w:lineRule="exact"/>
        <w:ind w:right="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附件3 </w:t>
      </w:r>
    </w:p>
    <w:p>
      <w:pPr>
        <w:widowControl w:val="0"/>
        <w:wordWrap/>
        <w:adjustRightInd/>
        <w:snapToGrid/>
        <w:spacing w:before="0" w:after="0" w:line="560" w:lineRule="exact"/>
        <w:ind w:right="0"/>
        <w:jc w:val="center"/>
        <w:textAlignment w:val="auto"/>
        <w:rPr>
          <w:rFonts w:hint="default" w:ascii="仿宋" w:hAnsi="仿宋" w:eastAsia="仿宋" w:cs="仿宋"/>
          <w:sz w:val="32"/>
          <w:szCs w:val="32"/>
          <w:lang w:val="en-US" w:eastAsia="zh-CN"/>
        </w:rPr>
      </w:pPr>
      <w:r>
        <w:rPr>
          <w:rFonts w:hint="eastAsia" w:ascii="方正小标宋简体" w:hAnsi="方正小标宋简体" w:eastAsia="方正小标宋简体" w:cs="方正小标宋简体"/>
          <w:sz w:val="44"/>
          <w:szCs w:val="44"/>
          <w:lang w:val="en-US" w:eastAsia="zh-CN"/>
        </w:rPr>
        <w:t>2022年食用农产品监督抽检工作要求</w:t>
      </w:r>
    </w:p>
    <w:p>
      <w:pPr>
        <w:widowControl w:val="0"/>
        <w:wordWrap/>
        <w:adjustRightInd/>
        <w:snapToGrid/>
        <w:spacing w:before="0" w:after="0" w:line="560" w:lineRule="exact"/>
        <w:ind w:right="0" w:firstLine="640" w:firstLineChars="200"/>
        <w:jc w:val="both"/>
        <w:textAlignment w:val="auto"/>
        <w:rPr>
          <w:rFonts w:hint="eastAsia" w:ascii="仿宋" w:hAnsi="仿宋" w:eastAsia="仿宋" w:cs="仿宋"/>
          <w:sz w:val="32"/>
          <w:szCs w:val="32"/>
          <w:lang w:val="en-US" w:eastAsia="zh-CN"/>
        </w:rPr>
      </w:pPr>
    </w:p>
    <w:p>
      <w:pPr>
        <w:widowControl w:val="0"/>
        <w:wordWrap/>
        <w:adjustRightInd/>
        <w:snapToGrid/>
        <w:spacing w:before="0" w:after="0" w:line="560" w:lineRule="exact"/>
        <w:ind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为规范食用农产品监督抽检工作，落实检管结合、溯源信息填报、均衡抽检等工作要求,提升食用农产品监督抽检工作质量，现就有关事项明确如下： </w:t>
      </w:r>
    </w:p>
    <w:p>
      <w:pPr>
        <w:widowControl w:val="0"/>
        <w:wordWrap/>
        <w:adjustRightInd/>
        <w:snapToGrid/>
        <w:spacing w:before="0" w:after="0" w:line="560" w:lineRule="exact"/>
        <w:ind w:righ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一、监管人员陪同抽样 </w:t>
      </w:r>
    </w:p>
    <w:p>
      <w:pPr>
        <w:widowControl w:val="0"/>
        <w:wordWrap/>
        <w:adjustRightInd/>
        <w:snapToGrid/>
        <w:spacing w:before="0" w:after="0" w:line="560" w:lineRule="exact"/>
        <w:ind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食用农产品抽样可由任务下达市场监管部门自行抽样或委托承检机构抽样。委托抽样的,应由被抽样单位所在地辖区市场监管部门2名监管人员、抽样机构2名抽样人员共同抽样;抽样前，承检机构应与相关市场监管部门联系,明确拟抽样场所及日期,属地市场监管部门应及时协调并安排监管人员陪同抽样。抽样人员选定样品后,监管人员应对被抽样单位和个人依法经营、索证索票等进行现场检查,发现违反有关法律法规的行为应记录和取证并依法处罚。对符合抽检要求的,抽样人员和现场监管人员应共同在抽样单上签字,并在国家食品安全抽样检验信息系统(以下简称“国抽信息系统”)中输入抽样人员和监管人员姓名。 </w:t>
      </w:r>
    </w:p>
    <w:p>
      <w:pPr>
        <w:widowControl w:val="0"/>
        <w:wordWrap/>
        <w:adjustRightInd/>
        <w:snapToGrid/>
        <w:spacing w:before="0" w:after="0" w:line="560" w:lineRule="exact"/>
        <w:ind w:righ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二、食用农产品溯源信息填报 </w:t>
      </w:r>
    </w:p>
    <w:p>
      <w:pPr>
        <w:widowControl w:val="0"/>
        <w:wordWrap/>
        <w:adjustRightInd/>
        <w:snapToGrid/>
        <w:spacing w:before="0" w:after="0" w:line="560" w:lineRule="exact"/>
        <w:ind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食用农产品抽样应填写产地溯源信息,主要包括以下内容: </w:t>
      </w:r>
    </w:p>
    <w:p>
      <w:pPr>
        <w:widowControl w:val="0"/>
        <w:wordWrap/>
        <w:adjustRightInd/>
        <w:snapToGrid/>
        <w:spacing w:before="0" w:after="0" w:line="560" w:lineRule="exact"/>
        <w:ind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一)食用农产品抽样溯源信息,包括抽检样品的供应商名称、地址、电话或生产者名称、地址等。主要从样品标签,被抽样单位提供样品的动物检疫合格证明、肉品品质检验合格证、动物产品检疫验讫二维码、承诺达标合格证、入境货物检验检疫证明、进货票据等凭证获取。 </w:t>
      </w:r>
    </w:p>
    <w:p>
      <w:pPr>
        <w:widowControl w:val="0"/>
        <w:wordWrap/>
        <w:adjustRightInd/>
        <w:snapToGrid/>
        <w:spacing w:before="0" w:after="0" w:line="560" w:lineRule="exact"/>
        <w:ind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(二)抽样人员应严格按现场提供或确认的信息填写抽样单。 </w:t>
      </w:r>
    </w:p>
    <w:p>
      <w:pPr>
        <w:widowControl w:val="0"/>
        <w:wordWrap/>
        <w:adjustRightInd/>
        <w:snapToGrid/>
        <w:spacing w:before="0" w:after="0" w:line="560" w:lineRule="exact"/>
        <w:ind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有关溯源信息凭证应拍照并上传国抽信息系统。当溯源信息仅有生产者、供应商名称或证照编号(统一社会信用代码或注册号)时,可通过“国家企业信用公示系统”等平台查询缺失信息，并按实际情形备注说明。溯源信息不全时,被抽样单位至少要提供供应商姓名和联系电话。 </w:t>
      </w:r>
    </w:p>
    <w:p>
      <w:pPr>
        <w:widowControl w:val="0"/>
        <w:wordWrap/>
        <w:adjustRightInd/>
        <w:snapToGrid/>
        <w:spacing w:before="0" w:after="0" w:line="560" w:lineRule="exact"/>
        <w:ind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三)案件稽查、事故调查、应急处置或在抽样现场发现有明显问题的食用农产品,可不受抽样数量、抽样地点、被抽样单位是否具备合法资质、销售产品是否提供溯源信息等限制;对需要开展不合格食用农产品跟踪抽检的,抽样单备注栏填写“此样品为跟踪抽检”。 </w:t>
      </w:r>
    </w:p>
    <w:p>
      <w:pPr>
        <w:widowControl w:val="0"/>
        <w:wordWrap/>
        <w:adjustRightInd/>
        <w:snapToGrid/>
        <w:spacing w:before="0" w:after="0" w:line="560" w:lineRule="exact"/>
        <w:ind w:righ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三、必检和自选品种及检验项目 </w:t>
      </w:r>
    </w:p>
    <w:p>
      <w:pPr>
        <w:widowControl w:val="0"/>
        <w:wordWrap/>
        <w:adjustRightInd/>
        <w:snapToGrid/>
        <w:spacing w:before="0" w:after="0" w:line="560" w:lineRule="exact"/>
        <w:ind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依据《食用农产品“治违禁控药残促提升”三年行动方案》</w:t>
      </w:r>
    </w:p>
    <w:p>
      <w:pPr>
        <w:widowControl w:val="0"/>
        <w:wordWrap/>
        <w:adjustRightInd/>
        <w:snapToGrid/>
        <w:spacing w:before="0" w:after="0" w:line="560" w:lineRule="exact"/>
        <w:ind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及近三年全国食用农产品抽检监测情况，确定《2022 年省级及以下食用农产品必检品种项目表》(见附件)。地方各级市场监管部门开展食用农产品监督抽检应包括上表中所列品种及必检项目,同时结合监管实际选择不少于两个可选项目。市、县级市场监管部门可选项目应由省局食品安全抽检监测处审核同意。 </w:t>
      </w:r>
    </w:p>
    <w:p>
      <w:pPr>
        <w:widowControl w:val="0"/>
        <w:wordWrap/>
        <w:adjustRightInd/>
        <w:snapToGrid/>
        <w:spacing w:before="0" w:after="0" w:line="560" w:lineRule="exact"/>
        <w:ind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在抽样品种上,应结合季节供应特点、辖区食用习惯合理确定。应合理确定各类食用农产品的抽检比例和批次,杜绝对同一食用农产品反复抽检。在自选检验项目上,应根据辖区既往抽检情况、食品安全标准要求、舆情信息、农兽药使用情况等进行确定。需要注意的是,农药项目应在《食品安全国家标准食品中农药最大残留限量》中选择,检验方法应为标准中规定的且能满足实验要求的方法；兽药项目应在《食品安全国家标准食品中兽药最大残留限量》《食品动物中禁止使用的药品及化合物清单》等农业农村部门公告中选择。同时，根据农业农村部门意见，在相关限量标准发布实施前,不再将停用兽药、废止兽药、产蛋期禁用兽药纳入监督抽检,不再检验虾蟹中呋喃西林代谢物。 </w:t>
      </w:r>
    </w:p>
    <w:p>
      <w:pPr>
        <w:widowControl w:val="0"/>
        <w:wordWrap/>
        <w:adjustRightInd/>
        <w:snapToGrid/>
        <w:spacing w:before="0" w:after="0" w:line="560" w:lineRule="exact"/>
        <w:ind w:righ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四、推进均衡抽检 </w:t>
      </w:r>
    </w:p>
    <w:p>
      <w:pPr>
        <w:widowControl w:val="0"/>
        <w:wordWrap/>
        <w:adjustRightInd/>
        <w:snapToGrid/>
        <w:spacing w:before="0" w:after="0" w:line="560" w:lineRule="exact"/>
        <w:ind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各级市场监管部门应根据本行政区域食用农产品生产销售的季节特点安排监督抽检任务,应重点抽取当季食用农产品，对不合格较多的食用农产品适当增加抽检频次。对食用农产品集中交易市场的经营者尽可能抽检全覆盖。 </w:t>
      </w:r>
    </w:p>
    <w:p>
      <w:pPr>
        <w:widowControl w:val="0"/>
        <w:wordWrap/>
        <w:adjustRightInd/>
        <w:snapToGrid/>
        <w:spacing w:before="0" w:after="0" w:line="560" w:lineRule="exact"/>
        <w:ind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widowControl w:val="0"/>
        <w:wordWrap/>
        <w:adjustRightInd/>
        <w:snapToGrid/>
        <w:spacing w:before="0" w:after="0" w:line="560" w:lineRule="exact"/>
        <w:ind w:right="0" w:firstLine="640" w:firstLineChars="200"/>
        <w:jc w:val="both"/>
        <w:textAlignment w:val="auto"/>
        <w:rPr>
          <w:rFonts w:hint="eastAsia" w:ascii="仿宋" w:hAnsi="仿宋" w:eastAsia="仿宋" w:cs="仿宋"/>
          <w:sz w:val="32"/>
          <w:szCs w:val="32"/>
          <w:lang w:val="en-US" w:eastAsia="zh-CN"/>
        </w:rPr>
        <w:sectPr>
          <w:pgSz w:w="11906" w:h="16838"/>
          <w:pgMar w:top="1440" w:right="1800" w:bottom="1440" w:left="1800" w:header="851" w:footer="992" w:gutter="0"/>
          <w:pgNumType w:fmt="numberInDash"/>
          <w:cols w:space="720" w:num="1"/>
          <w:docGrid w:type="lines" w:linePitch="312" w:charSpace="0"/>
        </w:sectPr>
      </w:pPr>
      <w:r>
        <w:rPr>
          <w:rFonts w:hint="eastAsia" w:ascii="仿宋" w:hAnsi="仿宋" w:eastAsia="仿宋" w:cs="仿宋"/>
          <w:sz w:val="32"/>
          <w:szCs w:val="32"/>
          <w:lang w:val="en-US" w:eastAsia="zh-CN"/>
        </w:rPr>
        <w:t>附件3-1：2022年省级及以下食用农产品必检品种、项目表</w:t>
      </w:r>
    </w:p>
    <w:p>
      <w:pPr>
        <w:widowControl w:val="0"/>
        <w:wordWrap/>
        <w:adjustRightInd/>
        <w:snapToGrid/>
        <w:spacing w:before="0" w:after="0" w:line="560" w:lineRule="exact"/>
        <w:ind w:right="0"/>
        <w:jc w:val="both"/>
        <w:textAlignment w:val="auto"/>
        <w:rPr>
          <w:rFonts w:hint="eastAsia" w:ascii="黑体" w:hAnsi="黑体" w:eastAsia="黑体" w:cs="黑体"/>
          <w:sz w:val="30"/>
          <w:szCs w:val="30"/>
          <w:lang w:val="en-US" w:eastAsia="zh-CN"/>
        </w:rPr>
      </w:pPr>
      <w:r>
        <w:rPr>
          <w:rFonts w:hint="eastAsia" w:ascii="黑体" w:hAnsi="黑体" w:eastAsia="黑体" w:cs="黑体"/>
          <w:sz w:val="32"/>
          <w:szCs w:val="32"/>
        </w:rPr>
        <w:t>附件3-1</w:t>
      </w:r>
    </w:p>
    <w:p>
      <w:pPr>
        <w:widowControl w:val="0"/>
        <w:wordWrap/>
        <w:adjustRightInd/>
        <w:snapToGrid/>
        <w:spacing w:before="0" w:after="0" w:line="560" w:lineRule="exact"/>
        <w:ind w:right="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2022年省级及以下食用农产品必检品种、项目表</w:t>
      </w:r>
    </w:p>
    <w:p>
      <w:pPr>
        <w:widowControl w:val="0"/>
        <w:wordWrap/>
        <w:adjustRightInd/>
        <w:snapToGrid/>
        <w:spacing w:before="0" w:after="0" w:line="560" w:lineRule="exact"/>
        <w:ind w:right="0"/>
        <w:jc w:val="center"/>
        <w:textAlignment w:val="auto"/>
        <w:rPr>
          <w:rFonts w:hint="eastAsia" w:ascii="方正小标宋简体" w:hAnsi="方正小标宋简体" w:eastAsia="方正小标宋简体" w:cs="方正小标宋简体"/>
          <w:sz w:val="44"/>
          <w:szCs w:val="44"/>
          <w:lang w:val="en-US" w:eastAsia="zh-CN"/>
        </w:rPr>
      </w:pPr>
    </w:p>
    <w:tbl>
      <w:tblPr>
        <w:tblStyle w:val="7"/>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63"/>
        <w:gridCol w:w="963"/>
        <w:gridCol w:w="964"/>
        <w:gridCol w:w="1738"/>
        <w:gridCol w:w="8135"/>
        <w:gridCol w:w="12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rPr>
              <w:t>食品亚类（二级）</w:t>
            </w:r>
          </w:p>
        </w:tc>
        <w:tc>
          <w:tcPr>
            <w:tcW w:w="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rPr>
              <w:t>食品品种（三级）</w:t>
            </w:r>
          </w:p>
        </w:tc>
        <w:tc>
          <w:tcPr>
            <w:tcW w:w="9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rPr>
              <w:t>食品细类（四级）</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rPr>
              <w:t>必检项目</w:t>
            </w:r>
          </w:p>
        </w:tc>
        <w:tc>
          <w:tcPr>
            <w:tcW w:w="8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rPr>
              <w:t>可选项目</w:t>
            </w:r>
          </w:p>
        </w:tc>
        <w:tc>
          <w:tcPr>
            <w:tcW w:w="1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rPr>
        <w:tc>
          <w:tcPr>
            <w:tcW w:w="96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畜禽肉及副产品</w:t>
            </w:r>
          </w:p>
        </w:tc>
        <w:tc>
          <w:tcPr>
            <w:tcW w:w="96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畜肉</w:t>
            </w:r>
          </w:p>
        </w:tc>
        <w:tc>
          <w:tcPr>
            <w:tcW w:w="9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牛肉</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克伦特罗、磺胺类（总量）</w:t>
            </w:r>
          </w:p>
        </w:tc>
        <w:tc>
          <w:tcPr>
            <w:tcW w:w="8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231F20"/>
                <w:sz w:val="22"/>
                <w:szCs w:val="22"/>
                <w:u w:val="none"/>
              </w:rPr>
            </w:pPr>
            <w:r>
              <w:rPr>
                <w:rFonts w:hint="default" w:ascii="Times New Roman" w:hAnsi="Times New Roman" w:eastAsia="仿宋" w:cs="Times New Roman"/>
                <w:i w:val="0"/>
                <w:color w:val="231F20"/>
                <w:kern w:val="0"/>
                <w:sz w:val="22"/>
                <w:szCs w:val="22"/>
                <w:u w:val="none"/>
                <w:lang w:val="en-US" w:eastAsia="zh-CN"/>
              </w:rPr>
              <w:t>挥发性盐基氮、恩诺沙星、呋喃唑酮代谢物、呋喃西林代谢物、甲氧苄啶、氯霉素、氟苯尼考、五氯酚酸钠（以五氯酚计）、多西环素、土霉素、青霉素、莱克多巴胺、沙丁胺醇、地塞米松、林可霉素、土霉素/金霉素/四环素（组合含量）</w:t>
            </w:r>
          </w:p>
        </w:tc>
        <w:tc>
          <w:tcPr>
            <w:tcW w:w="1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9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猪肉</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磺胺类（总</w:t>
            </w:r>
            <w:r>
              <w:rPr>
                <w:rFonts w:hint="default" w:ascii="Times New Roman" w:hAnsi="Times New Roman" w:eastAsia="仿宋" w:cs="Times New Roman"/>
                <w:i w:val="0"/>
                <w:color w:val="231F20"/>
                <w:kern w:val="0"/>
                <w:sz w:val="22"/>
                <w:szCs w:val="22"/>
                <w:u w:val="none"/>
                <w:lang w:val="en-US" w:eastAsia="zh-CN"/>
              </w:rPr>
              <w:t>量）</w:t>
            </w:r>
            <w:r>
              <w:rPr>
                <w:rFonts w:hint="default" w:ascii="Times New Roman" w:hAnsi="Times New Roman" w:eastAsia="仿宋" w:cs="Times New Roman"/>
                <w:i w:val="0"/>
                <w:color w:val="000000"/>
                <w:kern w:val="0"/>
                <w:sz w:val="22"/>
                <w:szCs w:val="22"/>
                <w:u w:val="none"/>
                <w:lang w:val="en-US" w:eastAsia="zh-CN"/>
              </w:rPr>
              <w:t>、</w:t>
            </w:r>
            <w:r>
              <w:rPr>
                <w:rFonts w:hint="default" w:ascii="Times New Roman" w:hAnsi="Times New Roman" w:eastAsia="仿宋" w:cs="Times New Roman"/>
                <w:i w:val="0"/>
                <w:color w:val="231F20"/>
                <w:kern w:val="0"/>
                <w:sz w:val="22"/>
                <w:szCs w:val="22"/>
                <w:u w:val="none"/>
                <w:lang w:val="en-US" w:eastAsia="zh-CN"/>
              </w:rPr>
              <w:t>甲氧苄啶</w:t>
            </w:r>
            <w:r>
              <w:rPr>
                <w:rFonts w:hint="default" w:ascii="Times New Roman" w:hAnsi="Times New Roman" w:eastAsia="仿宋" w:cs="Times New Roman"/>
                <w:i w:val="0"/>
                <w:color w:val="000000"/>
                <w:kern w:val="0"/>
                <w:sz w:val="22"/>
                <w:szCs w:val="22"/>
                <w:u w:val="none"/>
                <w:lang w:val="en-US" w:eastAsia="zh-CN"/>
              </w:rPr>
              <w:t>、</w:t>
            </w:r>
            <w:r>
              <w:rPr>
                <w:rFonts w:hint="default" w:ascii="Times New Roman" w:hAnsi="Times New Roman" w:eastAsia="仿宋" w:cs="Times New Roman"/>
                <w:i w:val="0"/>
                <w:color w:val="231F20"/>
                <w:kern w:val="0"/>
                <w:sz w:val="22"/>
                <w:szCs w:val="22"/>
                <w:u w:val="none"/>
                <w:lang w:val="en-US" w:eastAsia="zh-CN"/>
              </w:rPr>
              <w:t>恩</w:t>
            </w:r>
            <w:r>
              <w:rPr>
                <w:rFonts w:hint="default" w:ascii="Times New Roman" w:hAnsi="Times New Roman" w:eastAsia="仿宋" w:cs="Times New Roman"/>
                <w:i w:val="0"/>
                <w:color w:val="000000"/>
                <w:kern w:val="0"/>
                <w:sz w:val="22"/>
                <w:szCs w:val="22"/>
                <w:u w:val="none"/>
                <w:lang w:val="en-US" w:eastAsia="zh-CN"/>
              </w:rPr>
              <w:t>诺沙星</w:t>
            </w:r>
          </w:p>
        </w:tc>
        <w:tc>
          <w:tcPr>
            <w:tcW w:w="8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231F20"/>
                <w:sz w:val="22"/>
                <w:szCs w:val="22"/>
                <w:u w:val="none"/>
              </w:rPr>
            </w:pPr>
            <w:r>
              <w:rPr>
                <w:rFonts w:hint="default" w:ascii="Times New Roman" w:hAnsi="Times New Roman" w:eastAsia="仿宋" w:cs="Times New Roman"/>
                <w:i w:val="0"/>
                <w:color w:val="231F20"/>
                <w:kern w:val="0"/>
                <w:sz w:val="22"/>
                <w:szCs w:val="22"/>
                <w:u w:val="none"/>
                <w:lang w:val="en-US" w:eastAsia="zh-CN"/>
              </w:rPr>
              <w:t>挥发性盐基氮、替米考星、呋喃唑酮代谢物、呋喃西林代谢物、呋喃妥因代谢物、呋喃它酮代谢物、氯霉素、氟苯尼考、五氯酚酸钠（以五氯酚计）、多西环素、土霉素、克伦特罗、莱克多巴胺、沙丁胺醇、地塞米松、甲硝唑、哇乙醇、氯丙嗪、土霉素/金霉素/四环素（组合含量）</w:t>
            </w:r>
          </w:p>
        </w:tc>
        <w:tc>
          <w:tcPr>
            <w:tcW w:w="1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9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羊肉</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磺胺类（总量）、克伦特罗、恩诺沙星</w:t>
            </w:r>
          </w:p>
        </w:tc>
        <w:tc>
          <w:tcPr>
            <w:tcW w:w="8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呋喃唑酮代谢物、呋喃西林代谢物、氯霉素、氟苯尼考、五氯酚酸钠（以五氯酚计）、莱克多巴胺、沙丁胺醇、林可霉素、土霉素/金霉素/四环素（组合含量）</w:t>
            </w:r>
          </w:p>
        </w:tc>
        <w:tc>
          <w:tcPr>
            <w:tcW w:w="1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0" w:hRule="atLeast"/>
        </w:trPr>
        <w:tc>
          <w:tcPr>
            <w:tcW w:w="9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禽肉</w:t>
            </w:r>
          </w:p>
        </w:tc>
        <w:tc>
          <w:tcPr>
            <w:tcW w:w="9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鸡肉</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231F20"/>
                <w:sz w:val="22"/>
                <w:szCs w:val="22"/>
                <w:u w:val="none"/>
              </w:rPr>
            </w:pPr>
            <w:r>
              <w:rPr>
                <w:rFonts w:hint="default" w:ascii="Times New Roman" w:hAnsi="Times New Roman" w:eastAsia="仿宋" w:cs="Times New Roman"/>
                <w:i w:val="0"/>
                <w:color w:val="231F20"/>
                <w:kern w:val="0"/>
                <w:sz w:val="22"/>
                <w:szCs w:val="22"/>
                <w:u w:val="none"/>
                <w:lang w:val="en-US" w:eastAsia="zh-CN"/>
              </w:rPr>
              <w:t>五氯酚酸钠</w:t>
            </w:r>
            <w:r>
              <w:rPr>
                <w:rFonts w:hint="default" w:ascii="Times New Roman" w:hAnsi="Times New Roman" w:eastAsia="仿宋" w:cs="Times New Roman"/>
                <w:i w:val="0"/>
                <w:color w:val="000000"/>
                <w:kern w:val="0"/>
                <w:sz w:val="22"/>
                <w:szCs w:val="22"/>
                <w:u w:val="none"/>
                <w:lang w:val="en-US" w:eastAsia="zh-CN"/>
              </w:rPr>
              <w:t>（以五氯酚计）、氯</w:t>
            </w:r>
            <w:r>
              <w:rPr>
                <w:rFonts w:hint="default" w:ascii="Times New Roman" w:hAnsi="Times New Roman" w:eastAsia="仿宋" w:cs="Times New Roman"/>
                <w:i w:val="0"/>
                <w:color w:val="231F20"/>
                <w:kern w:val="0"/>
                <w:sz w:val="22"/>
                <w:szCs w:val="22"/>
                <w:u w:val="none"/>
                <w:lang w:val="en-US" w:eastAsia="zh-CN"/>
              </w:rPr>
              <w:t>霉素、恩</w:t>
            </w:r>
            <w:r>
              <w:rPr>
                <w:rFonts w:hint="default" w:ascii="Times New Roman" w:hAnsi="Times New Roman" w:eastAsia="仿宋" w:cs="Times New Roman"/>
                <w:i w:val="0"/>
                <w:color w:val="000000"/>
                <w:kern w:val="0"/>
                <w:sz w:val="22"/>
                <w:szCs w:val="22"/>
                <w:u w:val="none"/>
                <w:lang w:val="en-US" w:eastAsia="zh-CN"/>
              </w:rPr>
              <w:t>诺沙星</w:t>
            </w:r>
          </w:p>
        </w:tc>
        <w:tc>
          <w:tcPr>
            <w:tcW w:w="8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231F20"/>
                <w:sz w:val="22"/>
                <w:szCs w:val="22"/>
                <w:u w:val="none"/>
              </w:rPr>
            </w:pPr>
            <w:r>
              <w:rPr>
                <w:rFonts w:hint="default" w:ascii="Times New Roman" w:hAnsi="Times New Roman" w:eastAsia="仿宋" w:cs="Times New Roman"/>
                <w:i w:val="0"/>
                <w:color w:val="231F20"/>
                <w:kern w:val="0"/>
                <w:sz w:val="22"/>
                <w:szCs w:val="22"/>
                <w:u w:val="none"/>
                <w:lang w:val="en-US" w:eastAsia="zh-CN"/>
              </w:rPr>
              <w:t>挥发性盐基氮、沙拉沙星、替米考星、呋喃唑酮代谢物、呋喃西林代谢物、呋喃它酮代谢物、磺胺类（总量）、甲氧苄啶、氟苯尼考、多西环素、土霉素、金霉素、四环素、甲硝唑、尼卡巴嗪、土霉素/金霉素/四环素（组合含量）</w:t>
            </w:r>
          </w:p>
        </w:tc>
        <w:tc>
          <w:tcPr>
            <w:tcW w:w="1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0" w:hRule="atLeast"/>
        </w:trPr>
        <w:tc>
          <w:tcPr>
            <w:tcW w:w="96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蔬菜</w:t>
            </w:r>
          </w:p>
        </w:tc>
        <w:tc>
          <w:tcPr>
            <w:tcW w:w="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豆类蔬菜</w:t>
            </w:r>
          </w:p>
        </w:tc>
        <w:tc>
          <w:tcPr>
            <w:tcW w:w="9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豇豆</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灭蝇胺、甲氨基阿维菌素苯甲酸盐、噻虫嗪、倍硫磷、克百威、氧乐果、水胺硫磷、噻虫胺</w:t>
            </w:r>
          </w:p>
        </w:tc>
        <w:tc>
          <w:tcPr>
            <w:tcW w:w="8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阿维菌素、啶虫脒、氟虫腈、甲胺磷、甲拌磷、甲基异柳磷、氯氟氰菊酯和高效氯氟氰菊酯、氯氰菊酯和高效氯氰菊酯、氯唑磷、灭多威、乙酰甲胺磷、三唑磷、毒死蜱</w:t>
            </w:r>
          </w:p>
        </w:tc>
        <w:tc>
          <w:tcPr>
            <w:tcW w:w="1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rPr>
        <w:tc>
          <w:tcPr>
            <w:tcW w:w="9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豆芽</w:t>
            </w:r>
          </w:p>
        </w:tc>
        <w:tc>
          <w:tcPr>
            <w:tcW w:w="9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豆芽</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4-氯苯氧乙酸钠、6苄基腺嘌呤</w:t>
            </w:r>
          </w:p>
        </w:tc>
        <w:tc>
          <w:tcPr>
            <w:tcW w:w="8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铅（以Pb计）、亚硫酸盐（以S02计）、总汞（以Hg计）</w:t>
            </w:r>
          </w:p>
        </w:tc>
        <w:tc>
          <w:tcPr>
            <w:tcW w:w="1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10" w:hRule="atLeast"/>
        </w:trPr>
        <w:tc>
          <w:tcPr>
            <w:tcW w:w="9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根茎类和薯芋类蔬菜</w:t>
            </w:r>
          </w:p>
        </w:tc>
        <w:tc>
          <w:tcPr>
            <w:tcW w:w="9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231F20"/>
                <w:sz w:val="22"/>
                <w:szCs w:val="22"/>
                <w:u w:val="none"/>
              </w:rPr>
            </w:pPr>
            <w:r>
              <w:rPr>
                <w:rFonts w:hint="default" w:ascii="Times New Roman" w:hAnsi="Times New Roman" w:eastAsia="仿宋" w:cs="Times New Roman"/>
                <w:i w:val="0"/>
                <w:color w:val="231F20"/>
                <w:kern w:val="0"/>
                <w:sz w:val="22"/>
                <w:szCs w:val="22"/>
                <w:u w:val="none"/>
                <w:lang w:val="en-US" w:eastAsia="zh-CN"/>
              </w:rPr>
              <w:t>姜</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噻虫胺、铅（以Pb计）、噻虫嗪、吡虫啉、镉（以Cd计）</w:t>
            </w:r>
          </w:p>
        </w:tc>
        <w:tc>
          <w:tcPr>
            <w:tcW w:w="8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231F20"/>
                <w:sz w:val="22"/>
                <w:szCs w:val="22"/>
                <w:u w:val="none"/>
              </w:rPr>
            </w:pPr>
            <w:r>
              <w:rPr>
                <w:rFonts w:hint="default" w:ascii="Times New Roman" w:hAnsi="Times New Roman" w:eastAsia="仿宋" w:cs="Times New Roman"/>
                <w:i w:val="0"/>
                <w:color w:val="231F20"/>
                <w:kern w:val="0"/>
                <w:sz w:val="22"/>
                <w:szCs w:val="22"/>
                <w:u w:val="none"/>
                <w:lang w:val="en-US" w:eastAsia="zh-CN"/>
              </w:rPr>
              <w:t>甲拌磷、克百威、氯氟氰菊酯和高效氯氟氰菊酯、氯氰菊酯和高效氯氰菊酯、氯唑磷、水胺硫磷、氧乐果</w:t>
            </w:r>
          </w:p>
        </w:tc>
        <w:tc>
          <w:tcPr>
            <w:tcW w:w="1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rPr>
        <w:tc>
          <w:tcPr>
            <w:tcW w:w="9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瓜类蔬菜</w:t>
            </w:r>
          </w:p>
        </w:tc>
        <w:tc>
          <w:tcPr>
            <w:tcW w:w="9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黄瓜</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毒死蜱</w:t>
            </w:r>
          </w:p>
        </w:tc>
        <w:tc>
          <w:tcPr>
            <w:tcW w:w="8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阿维菌素、倍硫磷、苯醚甲环唑、哒螨灵、敌敌畏、啶酰菌胺、多菌灵、腐霉利、甲氨基阿维菌素苯甲酸盐、甲拌磷、腈苯唑、克百威、铅（以Pb计）、噻虫嗪、涕灭威、氧乐果、乙螨唑、异丙威</w:t>
            </w:r>
          </w:p>
        </w:tc>
        <w:tc>
          <w:tcPr>
            <w:tcW w:w="1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0" w:hRule="atLeast"/>
        </w:trPr>
        <w:tc>
          <w:tcPr>
            <w:tcW w:w="9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鳞茎类蔬菜</w:t>
            </w:r>
          </w:p>
        </w:tc>
        <w:tc>
          <w:tcPr>
            <w:tcW w:w="9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韭菜</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镉（以Cd计）、腐霉利、啶虫脒、氯氟氰菊酯和高效氯氟氰菊酯、毒死蜱、氧乐果</w:t>
            </w:r>
          </w:p>
        </w:tc>
        <w:tc>
          <w:tcPr>
            <w:tcW w:w="8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阿维菌素、吡虫啉、敌敌畏、多菌灵、二甲戊灵、氟虫腈、甲胺磷、甲拌磷、克百威、乐果、氯氰菊酯和高效氯氰菊酯、灭线磷、铅（以Pb计）、杀扑磷、水胺硫磷、辛硫磷、乙酰甲胺磷、甲基异柳磷、六六六、异菌脲</w:t>
            </w:r>
          </w:p>
        </w:tc>
        <w:tc>
          <w:tcPr>
            <w:tcW w:w="1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rPr>
        <w:tc>
          <w:tcPr>
            <w:tcW w:w="9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6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茄果类蔬菜</w:t>
            </w:r>
          </w:p>
        </w:tc>
        <w:tc>
          <w:tcPr>
            <w:tcW w:w="9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辣椒</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镉（以Cd计）、噻虫胺、啶虫脒</w:t>
            </w:r>
          </w:p>
        </w:tc>
        <w:tc>
          <w:tcPr>
            <w:tcW w:w="8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倍硫磷、吡虫啉、吡唑醚菌酯、丙溴磷、敌敌畏、多菌灵、氟虫腈、甲氨基阿维菌素苯甲酸盐、甲胺磷、甲拌磷、克百威、联苯菊酯、氯氟氰菊酯和高效氯氟氰菊酯、氯氰菊酯和高效氯氰菊酯、铅（以Pb计）、噻虫嗪、杀扑磷、水胺硫磷、氧乐果</w:t>
            </w:r>
          </w:p>
        </w:tc>
        <w:tc>
          <w:tcPr>
            <w:tcW w:w="1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rPr>
        <w:tc>
          <w:tcPr>
            <w:tcW w:w="9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茄子</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镉（以Cd计）、氧乐果</w:t>
            </w:r>
          </w:p>
        </w:tc>
        <w:tc>
          <w:tcPr>
            <w:tcW w:w="8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敌敌畏、甲氨基阿维菌素苯甲酸盐、</w:t>
            </w:r>
            <w:r>
              <w:rPr>
                <w:rFonts w:hint="default" w:ascii="Times New Roman" w:hAnsi="Times New Roman" w:eastAsia="仿宋" w:cs="Times New Roman"/>
                <w:i w:val="0"/>
                <w:color w:val="231F20"/>
                <w:kern w:val="0"/>
                <w:sz w:val="22"/>
                <w:szCs w:val="22"/>
                <w:u w:val="none"/>
                <w:lang w:val="en-US" w:eastAsia="zh-CN"/>
              </w:rPr>
              <w:t>甲胺磷、甲拌磷、甲氰菊酯、克百威</w:t>
            </w:r>
            <w:r>
              <w:rPr>
                <w:rFonts w:hint="default" w:ascii="Times New Roman" w:hAnsi="Times New Roman" w:eastAsia="仿宋" w:cs="Times New Roman"/>
                <w:i w:val="0"/>
                <w:color w:val="000000"/>
                <w:kern w:val="0"/>
                <w:sz w:val="22"/>
                <w:szCs w:val="22"/>
                <w:u w:val="none"/>
                <w:lang w:val="en-US" w:eastAsia="zh-CN"/>
              </w:rPr>
              <w:t>、噻虫嗪、霜霉</w:t>
            </w:r>
            <w:r>
              <w:rPr>
                <w:rFonts w:hint="default" w:ascii="Times New Roman" w:hAnsi="Times New Roman" w:eastAsia="仿宋" w:cs="Times New Roman"/>
                <w:i w:val="0"/>
                <w:color w:val="231F20"/>
                <w:kern w:val="0"/>
                <w:sz w:val="22"/>
                <w:szCs w:val="22"/>
                <w:u w:val="none"/>
                <w:lang w:val="en-US" w:eastAsia="zh-CN"/>
              </w:rPr>
              <w:t>威和霜霉威盐酸盐、</w:t>
            </w:r>
            <w:r>
              <w:rPr>
                <w:rFonts w:hint="default" w:ascii="Times New Roman" w:hAnsi="Times New Roman" w:eastAsia="仿宋" w:cs="Times New Roman"/>
                <w:i w:val="0"/>
                <w:color w:val="000000"/>
                <w:kern w:val="0"/>
                <w:sz w:val="22"/>
                <w:szCs w:val="22"/>
                <w:u w:val="none"/>
                <w:lang w:val="en-US" w:eastAsia="zh-CN"/>
              </w:rPr>
              <w:t>水胺硫磷、噻虫胺</w:t>
            </w:r>
          </w:p>
        </w:tc>
        <w:tc>
          <w:tcPr>
            <w:tcW w:w="1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rPr>
        <w:tc>
          <w:tcPr>
            <w:tcW w:w="9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6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叶菜类蔬菜</w:t>
            </w:r>
          </w:p>
        </w:tc>
        <w:tc>
          <w:tcPr>
            <w:tcW w:w="9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菠菜</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231F20"/>
                <w:sz w:val="22"/>
                <w:szCs w:val="22"/>
                <w:u w:val="none"/>
              </w:rPr>
            </w:pPr>
            <w:r>
              <w:rPr>
                <w:rFonts w:hint="default" w:ascii="Times New Roman" w:hAnsi="Times New Roman" w:eastAsia="仿宋" w:cs="Times New Roman"/>
                <w:i w:val="0"/>
                <w:color w:val="231F20"/>
                <w:kern w:val="0"/>
                <w:sz w:val="22"/>
                <w:szCs w:val="22"/>
                <w:u w:val="none"/>
                <w:lang w:val="en-US" w:eastAsia="zh-CN"/>
              </w:rPr>
              <w:t>毒死蜱</w:t>
            </w:r>
            <w:r>
              <w:rPr>
                <w:rFonts w:hint="default" w:ascii="Times New Roman" w:hAnsi="Times New Roman" w:eastAsia="仿宋" w:cs="Times New Roman"/>
                <w:i w:val="0"/>
                <w:color w:val="000000"/>
                <w:kern w:val="0"/>
                <w:sz w:val="22"/>
                <w:szCs w:val="22"/>
                <w:u w:val="none"/>
                <w:lang w:val="en-US" w:eastAsia="zh-CN"/>
              </w:rPr>
              <w:t>、氟虫睛</w:t>
            </w:r>
          </w:p>
        </w:tc>
        <w:tc>
          <w:tcPr>
            <w:tcW w:w="8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231F20"/>
                <w:sz w:val="22"/>
                <w:szCs w:val="22"/>
                <w:u w:val="none"/>
              </w:rPr>
            </w:pPr>
            <w:r>
              <w:rPr>
                <w:rFonts w:hint="default" w:ascii="Times New Roman" w:hAnsi="Times New Roman" w:eastAsia="仿宋" w:cs="Times New Roman"/>
                <w:i w:val="0"/>
                <w:color w:val="231F20"/>
                <w:kern w:val="0"/>
                <w:sz w:val="22"/>
                <w:szCs w:val="22"/>
                <w:u w:val="none"/>
                <w:lang w:val="en-US" w:eastAsia="zh-CN"/>
              </w:rPr>
              <w:t>阿维菌素、镉（以Cd计）、铬（以Cr计）、甲氨基阿维菌素苯甲酸盐、甲拌磷、克百威、氯氟氰菊酯和高效氯氟氰菊酯、氯氰菊酯和高效氯氰菊酯、铅（以Pb计）、水胺硫磷、氧乐果、六六六、腐霉利</w:t>
            </w:r>
          </w:p>
        </w:tc>
        <w:tc>
          <w:tcPr>
            <w:tcW w:w="1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9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6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普通白菜</w:t>
            </w:r>
          </w:p>
        </w:tc>
        <w:tc>
          <w:tcPr>
            <w:tcW w:w="173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啶虫脒、毒死蜱、氟虫腈、氧乐果</w:t>
            </w:r>
          </w:p>
        </w:tc>
        <w:tc>
          <w:tcPr>
            <w:tcW w:w="813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阿维菌素、百菌清、吡虫啉、敌敌畏、镉（以Cd计）、甲氨基阿维菌素苯甲酸盐、甲胺磷、甲拌磷、甲基异柳磷、克百威、氯氟氰菊酯和高效氯氟氰菊酯、氯氰菊酯和高效氯氰菊酯、铅（以Pb计）、噻虫嗪、水胺硫磷、茚虫威</w:t>
            </w:r>
          </w:p>
        </w:tc>
        <w:tc>
          <w:tcPr>
            <w:tcW w:w="122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9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6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173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81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12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9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6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173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81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12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10" w:hRule="atLeast"/>
        </w:trPr>
        <w:tc>
          <w:tcPr>
            <w:tcW w:w="9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芹菜</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毒死蜱、噻虫胺、甲拌磷、</w:t>
            </w:r>
            <w:r>
              <w:rPr>
                <w:rFonts w:hint="default" w:ascii="Times New Roman" w:hAnsi="Times New Roman" w:eastAsia="仿宋" w:cs="Times New Roman"/>
                <w:i w:val="0"/>
                <w:color w:val="231F20"/>
                <w:kern w:val="0"/>
                <w:sz w:val="22"/>
                <w:szCs w:val="22"/>
                <w:u w:val="none"/>
                <w:lang w:val="en-US" w:eastAsia="zh-CN"/>
              </w:rPr>
              <w:t>氯氟氰菊酯和高效氯氟氰菊酯</w:t>
            </w:r>
            <w:r>
              <w:rPr>
                <w:rFonts w:hint="default" w:ascii="Times New Roman" w:hAnsi="Times New Roman" w:eastAsia="仿宋" w:cs="Times New Roman"/>
                <w:i w:val="0"/>
                <w:color w:val="000000"/>
                <w:kern w:val="0"/>
                <w:sz w:val="22"/>
                <w:szCs w:val="22"/>
                <w:u w:val="none"/>
                <w:lang w:val="en-US" w:eastAsia="zh-CN"/>
              </w:rPr>
              <w:t>、氧乐果、克百威</w:t>
            </w:r>
          </w:p>
        </w:tc>
        <w:tc>
          <w:tcPr>
            <w:tcW w:w="8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阿维菌素、百菌清、苯醚甲环唑、敌敌畏、啶虫脒、二甲戊灵、氟虫腈、镉（以Cd计）、甲基异柳磷、腈菌唑、乐果、氯氰菊酯和高效氯氰菊酯、马拉硫磷、铅（以Pb计）、噻虫嗪、水胺硫磷、辛硫磷、灭蝇胺、乙酰甲胺磷</w:t>
            </w:r>
          </w:p>
        </w:tc>
        <w:tc>
          <w:tcPr>
            <w:tcW w:w="1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油麦菜</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阿维菌素、氟虫腈</w:t>
            </w:r>
          </w:p>
        </w:tc>
        <w:tc>
          <w:tcPr>
            <w:tcW w:w="8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啶虫脒、甲胺磷、甲拌磷、腈菌唑、克百威、氯氟氰菊酯和高效氯氟氰菊酯、灭多威、噻虫嗪、水胺硫磷、氧乐果、乙酰甲胺磷、毒死蜱</w:t>
            </w:r>
          </w:p>
        </w:tc>
        <w:tc>
          <w:tcPr>
            <w:tcW w:w="1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rPr>
        <w:tc>
          <w:tcPr>
            <w:tcW w:w="96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水产品</w:t>
            </w:r>
          </w:p>
        </w:tc>
        <w:tc>
          <w:tcPr>
            <w:tcW w:w="96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淡水产品</w:t>
            </w:r>
          </w:p>
        </w:tc>
        <w:tc>
          <w:tcPr>
            <w:tcW w:w="9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淡水鱼</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恩诺沙星、孔雀石绿、地西泮</w:t>
            </w:r>
          </w:p>
        </w:tc>
        <w:tc>
          <w:tcPr>
            <w:tcW w:w="8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挥发性盐基氮、氯霉素、氟苯尼考、呋喃唑酮代谢物、呋喃西林代谢物、磺胺类（总量）、甲氧苄啶、甲硝唑、五氯酚酸钠（以五氯酚计）</w:t>
            </w:r>
          </w:p>
        </w:tc>
        <w:tc>
          <w:tcPr>
            <w:tcW w:w="1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淡水虾</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恩诺沙星</w:t>
            </w:r>
          </w:p>
        </w:tc>
        <w:tc>
          <w:tcPr>
            <w:tcW w:w="8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镉（以Cd计）、孔雀石绿、氯霉素、呋喃唑酮代谢物、呋喃妥因代谢物、土霉素/金霉素/四环素（组合含量）、五氯酚酸钠（以五氯酚计）</w:t>
            </w:r>
          </w:p>
        </w:tc>
        <w:tc>
          <w:tcPr>
            <w:tcW w:w="1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6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海水产品</w:t>
            </w:r>
          </w:p>
        </w:tc>
        <w:tc>
          <w:tcPr>
            <w:tcW w:w="9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海水虾</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镉（以Cd计）</w:t>
            </w:r>
          </w:p>
        </w:tc>
        <w:tc>
          <w:tcPr>
            <w:tcW w:w="8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挥发性盐基氮、孔雀石绿、氯霉素、呋喃唑酮代</w:t>
            </w:r>
            <w:r>
              <w:rPr>
                <w:rFonts w:hint="default" w:ascii="Times New Roman" w:hAnsi="Times New Roman" w:eastAsia="仿宋" w:cs="Times New Roman"/>
                <w:i w:val="0"/>
                <w:color w:val="231F20"/>
                <w:kern w:val="0"/>
                <w:sz w:val="22"/>
                <w:szCs w:val="22"/>
                <w:u w:val="none"/>
                <w:lang w:val="en-US" w:eastAsia="zh-CN"/>
              </w:rPr>
              <w:t>谢物、</w:t>
            </w:r>
            <w:r>
              <w:rPr>
                <w:rFonts w:hint="default" w:ascii="Times New Roman" w:hAnsi="Times New Roman" w:eastAsia="仿宋" w:cs="Times New Roman"/>
                <w:i w:val="0"/>
                <w:color w:val="000000"/>
                <w:kern w:val="0"/>
                <w:sz w:val="22"/>
                <w:szCs w:val="22"/>
                <w:u w:val="none"/>
                <w:lang w:val="en-US" w:eastAsia="zh-CN"/>
              </w:rPr>
              <w:t>呋喃妥因代谢物、恩诺沙</w:t>
            </w:r>
            <w:r>
              <w:rPr>
                <w:rFonts w:hint="default" w:ascii="Times New Roman" w:hAnsi="Times New Roman" w:eastAsia="仿宋" w:cs="Times New Roman"/>
                <w:i w:val="0"/>
                <w:color w:val="231F20"/>
                <w:kern w:val="0"/>
                <w:sz w:val="22"/>
                <w:szCs w:val="22"/>
                <w:u w:val="none"/>
                <w:lang w:val="en-US" w:eastAsia="zh-CN"/>
              </w:rPr>
              <w:t>星、土霉素/金霉素/四环素（组合含量）</w:t>
            </w:r>
            <w:r>
              <w:rPr>
                <w:rFonts w:hint="default" w:ascii="Times New Roman" w:hAnsi="Times New Roman" w:eastAsia="仿宋" w:cs="Times New Roman"/>
                <w:i w:val="0"/>
                <w:color w:val="000000"/>
                <w:kern w:val="0"/>
                <w:sz w:val="22"/>
                <w:szCs w:val="22"/>
                <w:u w:val="none"/>
                <w:lang w:val="en-US" w:eastAsia="zh-CN"/>
              </w:rPr>
              <w:t>、</w:t>
            </w:r>
            <w:r>
              <w:rPr>
                <w:rFonts w:hint="default" w:ascii="Times New Roman" w:hAnsi="Times New Roman" w:eastAsia="仿宋" w:cs="Times New Roman"/>
                <w:i w:val="0"/>
                <w:color w:val="231F20"/>
                <w:kern w:val="0"/>
                <w:sz w:val="22"/>
                <w:szCs w:val="22"/>
                <w:u w:val="none"/>
                <w:lang w:val="en-US" w:eastAsia="zh-CN"/>
              </w:rPr>
              <w:t>五氯酚酸钠（以五氯</w:t>
            </w:r>
            <w:r>
              <w:rPr>
                <w:rFonts w:hint="default" w:ascii="Times New Roman" w:hAnsi="Times New Roman" w:eastAsia="仿宋" w:cs="Times New Roman"/>
                <w:i w:val="0"/>
                <w:color w:val="000000"/>
                <w:kern w:val="0"/>
                <w:sz w:val="22"/>
                <w:szCs w:val="22"/>
                <w:u w:val="none"/>
                <w:lang w:val="en-US" w:eastAsia="zh-CN"/>
              </w:rPr>
              <w:t>酚计）</w:t>
            </w:r>
          </w:p>
        </w:tc>
        <w:tc>
          <w:tcPr>
            <w:tcW w:w="1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海水蟹</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镉（以Cd计）</w:t>
            </w:r>
          </w:p>
        </w:tc>
        <w:tc>
          <w:tcPr>
            <w:tcW w:w="8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孔雀石绿、氯霉素、呋喃妥因代谢物、五氯酚酸钠（以五氯酚计）</w:t>
            </w:r>
          </w:p>
        </w:tc>
        <w:tc>
          <w:tcPr>
            <w:tcW w:w="1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rPr>
        <w:tc>
          <w:tcPr>
            <w:tcW w:w="9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海水鱼</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恩诺沙星</w:t>
            </w:r>
          </w:p>
        </w:tc>
        <w:tc>
          <w:tcPr>
            <w:tcW w:w="8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挥发性盐基氮、组胺、镉（以Cd计）、孔雀石绿、氯霉素、呋喃唑酮代谢物、呋喃西林代谢物、土霉素/金霉素/四环素（组合含量）、磺胺类（总量）、甲氧苄啶、甲硝唑、五氯酚酸钠（以五氯酚计）</w:t>
            </w:r>
          </w:p>
        </w:tc>
        <w:tc>
          <w:tcPr>
            <w:tcW w:w="1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rPr>
        <w:tc>
          <w:tcPr>
            <w:tcW w:w="9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其他水产品</w:t>
            </w:r>
          </w:p>
        </w:tc>
        <w:tc>
          <w:tcPr>
            <w:tcW w:w="9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其他水产品（重点品种：牛蛙）</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恩诺沙星、呋喃唑酮代谢物</w:t>
            </w:r>
          </w:p>
        </w:tc>
        <w:tc>
          <w:tcPr>
            <w:tcW w:w="8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呋喃西林代谢物、孔雀石绿、氯霉素、镉（以Cd计）</w:t>
            </w:r>
          </w:p>
        </w:tc>
        <w:tc>
          <w:tcPr>
            <w:tcW w:w="1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6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水果类</w:t>
            </w:r>
          </w:p>
        </w:tc>
        <w:tc>
          <w:tcPr>
            <w:tcW w:w="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柑橘类水果</w:t>
            </w:r>
          </w:p>
        </w:tc>
        <w:tc>
          <w:tcPr>
            <w:tcW w:w="9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柑、橘</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丙溴磷、苯醚甲环唑</w:t>
            </w:r>
          </w:p>
        </w:tc>
        <w:tc>
          <w:tcPr>
            <w:tcW w:w="8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氯唑磷、三唑磷、水胺硫磷、氯氟氰菊酯和高效氯氟氰菊酯、克百威、联苯菊酯、氧乐果、甲拌磷、2,4-滴和2,4-滴钠盐、狄氏剂、毒死蜱、杀扑磷</w:t>
            </w:r>
          </w:p>
        </w:tc>
        <w:tc>
          <w:tcPr>
            <w:tcW w:w="1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9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浆果和其他小型水果</w:t>
            </w:r>
          </w:p>
        </w:tc>
        <w:tc>
          <w:tcPr>
            <w:tcW w:w="9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弥猴桃</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氯吡脲</w:t>
            </w:r>
          </w:p>
        </w:tc>
        <w:tc>
          <w:tcPr>
            <w:tcW w:w="8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多菌灵、敌敌畏、氧乐果</w:t>
            </w:r>
          </w:p>
        </w:tc>
        <w:tc>
          <w:tcPr>
            <w:tcW w:w="1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9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6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热带和亚热带水果</w:t>
            </w:r>
          </w:p>
        </w:tc>
        <w:tc>
          <w:tcPr>
            <w:tcW w:w="96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香蕉</w:t>
            </w:r>
          </w:p>
        </w:tc>
        <w:tc>
          <w:tcPr>
            <w:tcW w:w="173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吡虫啉、噻虫嗪、腈苯唑</w:t>
            </w:r>
          </w:p>
        </w:tc>
        <w:tc>
          <w:tcPr>
            <w:tcW w:w="813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噻虫胺、苯醚甲环唑、氟虫腈、吡唑醚菌酯、多菌灵、甲拌磷、氟环唑、联苯菊酯、烯唑醇、百菌清</w:t>
            </w:r>
          </w:p>
        </w:tc>
        <w:tc>
          <w:tcPr>
            <w:tcW w:w="122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9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6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173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81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12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9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96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173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81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c>
          <w:tcPr>
            <w:tcW w:w="12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鲜蛋</w:t>
            </w:r>
          </w:p>
        </w:tc>
        <w:tc>
          <w:tcPr>
            <w:tcW w:w="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鲜蛋</w:t>
            </w:r>
          </w:p>
        </w:tc>
        <w:tc>
          <w:tcPr>
            <w:tcW w:w="9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鸡蛋</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甲硝唑</w:t>
            </w:r>
          </w:p>
        </w:tc>
        <w:tc>
          <w:tcPr>
            <w:tcW w:w="8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rPr>
              <w:t>地美硝唑、氟虫腈、氯霉素、呋喃唑酮代谢物</w:t>
            </w:r>
          </w:p>
        </w:tc>
        <w:tc>
          <w:tcPr>
            <w:tcW w:w="1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center"/>
              <w:rPr>
                <w:rFonts w:hint="default" w:ascii="Times New Roman" w:hAnsi="Times New Roman" w:eastAsia="仿宋"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39" w:hRule="atLeast"/>
        </w:trPr>
        <w:tc>
          <w:tcPr>
            <w:tcW w:w="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 w:hAnsi="仿宋" w:eastAsia="仿宋" w:cs="仿宋"/>
              </w:rPr>
            </w:pPr>
            <w:r>
              <w:rPr>
                <w:rFonts w:hint="eastAsia" w:ascii="仿宋" w:hAnsi="仿宋" w:eastAsia="仿宋" w:cs="仿宋"/>
                <w:lang w:val="en-US" w:eastAsia="zh-CN"/>
              </w:rPr>
              <w:t>生干坚果与籽类食品</w:t>
            </w:r>
          </w:p>
        </w:tc>
        <w:tc>
          <w:tcPr>
            <w:tcW w:w="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 w:hAnsi="仿宋" w:eastAsia="仿宋" w:cs="仿宋"/>
              </w:rPr>
            </w:pPr>
            <w:r>
              <w:rPr>
                <w:rFonts w:hint="eastAsia" w:ascii="仿宋" w:hAnsi="仿宋" w:eastAsia="仿宋" w:cs="仿宋"/>
                <w:lang w:val="en-US" w:eastAsia="zh-CN"/>
              </w:rPr>
              <w:t>生干坚果与籽类食品</w:t>
            </w:r>
          </w:p>
        </w:tc>
        <w:tc>
          <w:tcPr>
            <w:tcW w:w="9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 w:hAnsi="仿宋" w:eastAsia="仿宋" w:cs="仿宋"/>
              </w:rPr>
            </w:pPr>
            <w:r>
              <w:rPr>
                <w:rFonts w:hint="eastAsia" w:ascii="仿宋" w:hAnsi="仿宋" w:eastAsia="仿宋" w:cs="仿宋"/>
                <w:lang w:val="en-US" w:eastAsia="zh-CN"/>
              </w:rPr>
              <w:t>生干籽类（重点品种：芝麻、花生）</w:t>
            </w:r>
          </w:p>
        </w:tc>
        <w:tc>
          <w:tcPr>
            <w:tcW w:w="17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 w:hAnsi="仿宋" w:eastAsia="仿宋" w:cs="仿宋"/>
              </w:rPr>
            </w:pPr>
            <w:r>
              <w:rPr>
                <w:rFonts w:hint="eastAsia" w:ascii="仿宋" w:hAnsi="仿宋" w:eastAsia="仿宋" w:cs="仿宋"/>
                <w:lang w:val="en-US" w:eastAsia="zh-CN"/>
              </w:rPr>
              <w:t>酸价、黄曲霉毒素B1</w:t>
            </w:r>
          </w:p>
        </w:tc>
        <w:tc>
          <w:tcPr>
            <w:tcW w:w="8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 w:hAnsi="仿宋" w:eastAsia="仿宋" w:cs="仿宋"/>
              </w:rPr>
            </w:pPr>
            <w:r>
              <w:rPr>
                <w:rFonts w:hint="eastAsia" w:ascii="仿宋" w:hAnsi="仿宋" w:eastAsia="仿宋" w:cs="仿宋"/>
                <w:lang w:val="en-US" w:eastAsia="zh-CN"/>
              </w:rPr>
              <w:t>过氧化值（以脂肪计）、铅（以Pb计）、镉（以Cd计）、苯醚甲环唑</w:t>
            </w:r>
          </w:p>
        </w:tc>
        <w:tc>
          <w:tcPr>
            <w:tcW w:w="1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 w:hAnsi="仿宋" w:eastAsia="仿宋" w:cs="仿宋"/>
              </w:rPr>
            </w:pPr>
            <w:r>
              <w:rPr>
                <w:rFonts w:hint="eastAsia" w:ascii="仿宋" w:hAnsi="仿宋" w:eastAsia="仿宋" w:cs="仿宋"/>
                <w:lang w:val="en-US" w:eastAsia="zh-CN"/>
              </w:rPr>
              <w:t>仅花生检测黄曲霉毒素B1。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31" w:hRule="atLeast"/>
        </w:trPr>
        <w:tc>
          <w:tcPr>
            <w:tcW w:w="13988"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after="0" w:line="560" w:lineRule="exact"/>
              <w:ind w:right="0"/>
              <w:jc w:val="left"/>
              <w:textAlignment w:val="center"/>
              <w:rPr>
                <w:rFonts w:hint="default" w:ascii="Times New Roman" w:hAnsi="Times New Roman" w:eastAsia="楷体" w:cs="Times New Roman"/>
                <w:i w:val="0"/>
                <w:color w:val="000000"/>
                <w:kern w:val="0"/>
                <w:sz w:val="22"/>
                <w:szCs w:val="22"/>
                <w:u w:val="none"/>
                <w:lang w:val="en-US" w:eastAsia="zh-CN"/>
              </w:rPr>
            </w:pPr>
            <w:r>
              <w:rPr>
                <w:rFonts w:hint="default" w:ascii="Times New Roman" w:hAnsi="Times New Roman" w:eastAsia="楷体" w:cs="Times New Roman"/>
                <w:i w:val="0"/>
                <w:color w:val="000000"/>
                <w:kern w:val="0"/>
                <w:sz w:val="22"/>
                <w:szCs w:val="22"/>
                <w:u w:val="none"/>
                <w:lang w:val="en-US" w:eastAsia="zh-CN"/>
              </w:rPr>
              <w:t>注：1.部分项目检测结果说明：恩诺沙星检验结果以恩诺沙星与环丙沙星之和计：孔雀石绿检验结果以孔雀石绿与隐色孔雀石绿之和计，以孔雀石绿表示：磺胺类（总量）包含的具体磺胺药物按食品安全监督抽检实施细则（2022年版）中相应食品类别要求检验。</w:t>
            </w:r>
            <w:r>
              <w:rPr>
                <w:rFonts w:hint="default" w:ascii="Times New Roman" w:hAnsi="Times New Roman" w:eastAsia="楷体" w:cs="Times New Roman"/>
                <w:i w:val="0"/>
                <w:color w:val="000000"/>
                <w:kern w:val="0"/>
                <w:sz w:val="22"/>
                <w:szCs w:val="22"/>
                <w:u w:val="none"/>
                <w:lang w:val="en-US" w:eastAsia="zh-CN"/>
              </w:rPr>
              <w:br w:type="textWrapping"/>
            </w:r>
            <w:r>
              <w:rPr>
                <w:rFonts w:hint="default" w:ascii="Times New Roman" w:hAnsi="Times New Roman" w:eastAsia="楷体" w:cs="Times New Roman"/>
                <w:i w:val="0"/>
                <w:color w:val="000000"/>
                <w:kern w:val="0"/>
                <w:sz w:val="22"/>
                <w:szCs w:val="22"/>
                <w:u w:val="none"/>
                <w:lang w:val="en-US" w:eastAsia="zh-CN"/>
              </w:rPr>
              <w:t xml:space="preserve">    2.酸价、过氧化值依据GB19300判定时，样品前处理按该标准附录B规定。</w:t>
            </w:r>
            <w:r>
              <w:rPr>
                <w:rFonts w:hint="default" w:ascii="Times New Roman" w:hAnsi="Times New Roman" w:eastAsia="楷体" w:cs="Times New Roman"/>
                <w:i w:val="0"/>
                <w:color w:val="000000"/>
                <w:kern w:val="0"/>
                <w:sz w:val="22"/>
                <w:szCs w:val="22"/>
                <w:u w:val="none"/>
                <w:lang w:val="en-US" w:eastAsia="zh-CN"/>
              </w:rPr>
              <w:br w:type="textWrapping"/>
            </w:r>
            <w:r>
              <w:rPr>
                <w:rFonts w:hint="default" w:ascii="Times New Roman" w:hAnsi="Times New Roman" w:eastAsia="楷体" w:cs="Times New Roman"/>
                <w:i w:val="0"/>
                <w:color w:val="000000"/>
                <w:kern w:val="0"/>
                <w:sz w:val="22"/>
                <w:szCs w:val="22"/>
                <w:u w:val="none"/>
                <w:lang w:val="en-US" w:eastAsia="zh-CN"/>
              </w:rPr>
              <w:t xml:space="preserve">    3.可选项目选择原则：</w:t>
            </w:r>
            <w:r>
              <w:rPr>
                <w:rFonts w:hint="default" w:ascii="Times New Roman" w:hAnsi="Times New Roman" w:eastAsia="楷体" w:cs="Times New Roman"/>
                <w:i w:val="0"/>
                <w:color w:val="000000"/>
                <w:kern w:val="0"/>
                <w:sz w:val="22"/>
                <w:szCs w:val="22"/>
                <w:u w:val="none"/>
                <w:lang w:val="en-US" w:eastAsia="zh-CN"/>
              </w:rPr>
              <w:br w:type="textWrapping"/>
            </w:r>
            <w:r>
              <w:rPr>
                <w:rFonts w:hint="default" w:ascii="Times New Roman" w:hAnsi="Times New Roman" w:eastAsia="楷体" w:cs="Times New Roman"/>
                <w:i w:val="0"/>
                <w:color w:val="000000"/>
                <w:kern w:val="0"/>
                <w:sz w:val="22"/>
                <w:szCs w:val="22"/>
                <w:u w:val="none"/>
                <w:lang w:val="en-US" w:eastAsia="zh-CN"/>
              </w:rPr>
              <w:t xml:space="preserve">    1）氧氟沙星等停用药物、产蛋期禁用且无限量的恩诺沙星等药物、以及不在农业农村部公告第250号《食品动物中禁止使用的药品及化合物清单》中的金刚烷胺等药物，在相关限量标准发布实施前不得纳入监督抽检；不再检验虾蟹中呋喃西林代谢物。</w:t>
            </w:r>
          </w:p>
          <w:p>
            <w:pPr>
              <w:widowControl/>
              <w:wordWrap/>
              <w:adjustRightInd/>
              <w:snapToGrid/>
              <w:spacing w:before="0" w:after="0" w:line="560" w:lineRule="exact"/>
              <w:ind w:left="640" w:leftChars="200" w:right="0" w:hanging="220" w:hangingChars="100"/>
              <w:jc w:val="left"/>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楷体" w:cs="Times New Roman"/>
                <w:i w:val="0"/>
                <w:color w:val="000000"/>
                <w:kern w:val="0"/>
                <w:sz w:val="22"/>
                <w:szCs w:val="22"/>
                <w:u w:val="none"/>
                <w:lang w:val="en-US" w:eastAsia="zh-CN"/>
              </w:rPr>
              <w:t>2）可选项目应根据</w:t>
            </w:r>
            <w:r>
              <w:rPr>
                <w:rFonts w:hint="eastAsia" w:ascii="Times New Roman" w:hAnsi="Times New Roman" w:eastAsia="楷体" w:cs="Times New Roman"/>
                <w:i w:val="0"/>
                <w:color w:val="000000"/>
                <w:kern w:val="0"/>
                <w:sz w:val="22"/>
                <w:szCs w:val="22"/>
                <w:u w:val="none"/>
                <w:lang w:val="en-US" w:eastAsia="zh-CN"/>
              </w:rPr>
              <w:t>辖区</w:t>
            </w:r>
            <w:r>
              <w:rPr>
                <w:rFonts w:hint="default" w:ascii="Times New Roman" w:hAnsi="Times New Roman" w:eastAsia="楷体" w:cs="Times New Roman"/>
                <w:i w:val="0"/>
                <w:color w:val="000000"/>
                <w:kern w:val="0"/>
                <w:sz w:val="22"/>
                <w:szCs w:val="22"/>
                <w:u w:val="none"/>
                <w:lang w:val="en-US" w:eastAsia="zh-CN"/>
              </w:rPr>
              <w:t>农业投入品使用情况及既往抽检不合格、</w:t>
            </w:r>
            <w:r>
              <w:rPr>
                <w:rFonts w:hint="eastAsia" w:ascii="Times New Roman" w:hAnsi="Times New Roman" w:eastAsia="楷体" w:cs="Times New Roman"/>
                <w:i w:val="0"/>
                <w:color w:val="000000"/>
                <w:kern w:val="0"/>
                <w:sz w:val="22"/>
                <w:szCs w:val="22"/>
                <w:u w:val="none"/>
                <w:lang w:val="en-US" w:eastAsia="zh-CN"/>
              </w:rPr>
              <w:t>辖区</w:t>
            </w:r>
            <w:r>
              <w:rPr>
                <w:rFonts w:hint="default" w:ascii="Times New Roman" w:hAnsi="Times New Roman" w:eastAsia="楷体" w:cs="Times New Roman"/>
                <w:i w:val="0"/>
                <w:color w:val="000000"/>
                <w:kern w:val="0"/>
                <w:sz w:val="22"/>
                <w:szCs w:val="22"/>
                <w:u w:val="none"/>
                <w:lang w:val="en-US" w:eastAsia="zh-CN"/>
              </w:rPr>
              <w:t>舆情情况选择，如在本表可选项目之外确定检测项目时，应注意：农药残留项目在GB2763标准中有该品种最大允许残留限量及相应指定检测方法；兽药项目在GB31650有该动物类别相应组织部位的允许限量，或农业农村部公告250号等禁用要求，且有适用检测方法（检测范围应包含该动物的相应组织部位的兽药），符合上述要求的农兽药项目方可纳入监督抽检。</w:t>
            </w:r>
          </w:p>
        </w:tc>
      </w:tr>
    </w:tbl>
    <w:p>
      <w:pPr>
        <w:widowControl w:val="0"/>
        <w:wordWrap/>
        <w:adjustRightInd/>
        <w:snapToGrid/>
        <w:spacing w:before="0" w:after="0" w:line="560" w:lineRule="exact"/>
        <w:ind w:right="0"/>
        <w:jc w:val="both"/>
        <w:textAlignment w:val="auto"/>
        <w:rPr>
          <w:rFonts w:hint="eastAsia" w:ascii="方正小标宋简体" w:hAnsi="方正小标宋简体" w:eastAsia="方正小标宋简体" w:cs="方正小标宋简体"/>
          <w:sz w:val="44"/>
          <w:szCs w:val="44"/>
          <w:lang w:val="en-US" w:eastAsia="zh-CN"/>
        </w:rPr>
      </w:pPr>
    </w:p>
    <w:sectPr>
      <w:pgSz w:w="16838" w:h="11906" w:orient="landscape"/>
      <w:pgMar w:top="1800" w:right="1440" w:bottom="1800"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Calibri" w:hAnsi="Calibri" w:eastAsia="宋体" w:cs="黑体"/>
        <w:kern w:val="2"/>
        <w:sz w:val="18"/>
        <w:szCs w:val="24"/>
        <w:lang w:val="en-US" w:eastAsia="zh-CN" w:bidi="ar-SA"/>
      </w:rPr>
      <w:pict>
        <v:shape id="文本框1" o:spid="_x0000_s4097" o:spt="202" type="#_x0000_t202" style="position:absolute;left:0pt;margin-top:0pt;height:144pt;width:144pt;mso-position-horizontal:out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1A9257C"/>
    <w:rsid w:val="1F69452A"/>
    <w:rsid w:val="25332BBA"/>
    <w:rsid w:val="3C705D45"/>
    <w:rsid w:val="52F84CCB"/>
    <w:rsid w:val="5A8B0157"/>
    <w:rsid w:val="740F771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4">
    <w:name w:val="heading 1"/>
    <w:next w:val="1"/>
    <w:qFormat/>
    <w:uiPriority w:val="9"/>
    <w:pPr>
      <w:keepNext/>
      <w:keepLines/>
      <w:spacing w:after="161" w:line="265" w:lineRule="auto"/>
      <w:ind w:left="651" w:hanging="10"/>
      <w:outlineLvl w:val="0"/>
    </w:pPr>
    <w:rPr>
      <w:rFonts w:ascii="微软雅黑" w:hAnsi="微软雅黑" w:eastAsia="微软雅黑" w:cs="微软雅黑"/>
      <w:color w:val="000000"/>
      <w:kern w:val="2"/>
      <w:sz w:val="32"/>
      <w:szCs w:val="22"/>
      <w:lang w:val="en-US" w:eastAsia="zh-CN" w:bidi="ar-SA"/>
    </w:rPr>
  </w:style>
  <w:style w:type="character" w:default="1" w:styleId="8">
    <w:name w:val="Default Paragraph Font"/>
    <w:semiHidden/>
    <w:qFormat/>
    <w:uiPriority w:val="0"/>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autoSpaceDE/>
      <w:autoSpaceDN/>
      <w:adjustRightInd/>
      <w:spacing w:after="120" w:afterLines="0"/>
      <w:ind w:left="420" w:leftChars="200" w:firstLine="420"/>
    </w:pPr>
    <w:rPr>
      <w:rFonts w:ascii="Times New Roman" w:eastAsia="宋体"/>
      <w:w w:val="88"/>
      <w:sz w:val="21"/>
      <w:szCs w:val="21"/>
      <w:lang w:val="en-US"/>
    </w:rPr>
  </w:style>
  <w:style w:type="paragraph" w:styleId="3">
    <w:name w:val="Body Text Indent"/>
    <w:basedOn w:val="1"/>
    <w:qFormat/>
    <w:uiPriority w:val="0"/>
    <w:pPr>
      <w:autoSpaceDE w:val="0"/>
      <w:autoSpaceDN w:val="0"/>
      <w:adjustRightInd w:val="0"/>
      <w:ind w:firstLine="640" w:firstLineChars="200"/>
    </w:pPr>
    <w:rPr>
      <w:rFonts w:ascii="仿宋_GB2312" w:eastAsia="仿宋_GB2312"/>
      <w:kern w:val="2"/>
      <w:sz w:val="32"/>
      <w:szCs w:val="28"/>
      <w:lang w:val="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9">
    <w:name w:val="Hyperlink"/>
    <w:basedOn w:val="8"/>
    <w:qFormat/>
    <w:uiPriority w:val="0"/>
    <w:rPr>
      <w:color w:val="0000FF"/>
      <w:u w:val="single"/>
    </w:rPr>
  </w:style>
  <w:style w:type="character" w:customStyle="1" w:styleId="10">
    <w:name w:val="font21"/>
    <w:basedOn w:val="8"/>
    <w:qFormat/>
    <w:uiPriority w:val="0"/>
    <w:rPr>
      <w:rFonts w:hint="eastAsia" w:ascii="微软雅黑" w:hAnsi="微软雅黑" w:eastAsia="微软雅黑" w:cs="微软雅黑"/>
      <w:color w:val="000000"/>
      <w:sz w:val="20"/>
      <w:szCs w:val="20"/>
      <w:u w:val="none"/>
      <w:vertAlign w:val="subscript"/>
    </w:rPr>
  </w:style>
  <w:style w:type="character" w:customStyle="1" w:styleId="11">
    <w:name w:val="font31"/>
    <w:basedOn w:val="8"/>
    <w:qFormat/>
    <w:uiPriority w:val="0"/>
    <w:rPr>
      <w:rFonts w:hint="eastAsia" w:ascii="微软雅黑" w:hAnsi="微软雅黑" w:eastAsia="微软雅黑" w:cs="微软雅黑"/>
      <w:color w:val="000000"/>
      <w:sz w:val="20"/>
      <w:szCs w:val="20"/>
      <w:u w:val="none"/>
    </w:rPr>
  </w:style>
  <w:style w:type="character" w:customStyle="1" w:styleId="12">
    <w:name w:val="font11"/>
    <w:basedOn w:val="8"/>
    <w:qFormat/>
    <w:uiPriority w:val="0"/>
    <w:rPr>
      <w:rFonts w:hint="eastAsia" w:ascii="微软雅黑" w:hAnsi="微软雅黑" w:eastAsia="微软雅黑" w:cs="微软雅黑"/>
      <w:color w:val="000000"/>
      <w:sz w:val="20"/>
      <w:szCs w:val="20"/>
      <w:u w:val="none"/>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24840</Words>
  <Characters>25528</Characters>
  <Lines>0</Lines>
  <Paragraphs>0</Paragraphs>
  <TotalTime>58</TotalTime>
  <ScaleCrop>false</ScaleCrop>
  <LinksUpToDate>false</LinksUpToDate>
  <CharactersWithSpaces>25603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2022-02-16T16:39:00Z</dcterms:created>
  <dc:creator>tjndxx</dc:creator>
  <cp:lastModifiedBy>执著</cp:lastModifiedBy>
  <cp:lastPrinted>2022-03-16T02:22:00Z</cp:lastPrinted>
  <dcterms:modified xsi:type="dcterms:W3CDTF">2022-04-06T03:52:08Z</dcterms:modified>
  <dc:title>温县市场监督管理局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84E11FD4EBB24786A87A5DF52905177B</vt:lpwstr>
  </property>
</Properties>
</file>