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A0" w:rsidRDefault="00B21A72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222222"/>
          <w:sz w:val="16"/>
          <w:szCs w:val="16"/>
        </w:rPr>
      </w:pPr>
      <w:r>
        <w:rPr>
          <w:rFonts w:ascii="仿宋_GB2312" w:eastAsia="仿宋_GB2312" w:hAnsi="微软雅黑" w:cs="仿宋_GB2312"/>
          <w:color w:val="222222"/>
          <w:sz w:val="21"/>
          <w:szCs w:val="21"/>
          <w:shd w:val="clear" w:color="auto" w:fill="FFFFFF"/>
        </w:rPr>
        <w:t>附件</w:t>
      </w:r>
      <w:r>
        <w:rPr>
          <w:rFonts w:ascii="仿宋_GB2312" w:eastAsia="仿宋_GB2312" w:hAnsi="微软雅黑" w:cs="仿宋_GB2312" w:hint="eastAsia"/>
          <w:color w:val="222222"/>
          <w:sz w:val="21"/>
          <w:szCs w:val="21"/>
          <w:shd w:val="clear" w:color="auto" w:fill="FFFFFF"/>
        </w:rPr>
        <w:t>1</w:t>
      </w:r>
    </w:p>
    <w:p w:rsidR="00CE36A0" w:rsidRDefault="00B21A72">
      <w:pPr>
        <w:pStyle w:val="a7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222222"/>
          <w:sz w:val="16"/>
          <w:szCs w:val="16"/>
        </w:rPr>
      </w:pPr>
      <w:r>
        <w:rPr>
          <w:rFonts w:ascii="方正小标宋_GBK" w:eastAsia="方正小标宋_GBK" w:hAnsi="方正小标宋_GBK" w:cs="方正小标宋_GBK"/>
          <w:color w:val="222222"/>
          <w:sz w:val="29"/>
          <w:szCs w:val="29"/>
          <w:shd w:val="clear" w:color="auto" w:fill="FFFFFF"/>
        </w:rPr>
        <w:t>县</w:t>
      </w:r>
      <w:r>
        <w:rPr>
          <w:rFonts w:ascii="方正小标宋_GBK" w:eastAsia="方正小标宋_GBK" w:hAnsi="方正小标宋_GBK" w:cs="方正小标宋_GBK" w:hint="eastAsia"/>
          <w:color w:val="222222"/>
          <w:sz w:val="29"/>
          <w:szCs w:val="29"/>
          <w:shd w:val="clear" w:color="auto" w:fill="FFFFFF"/>
        </w:rPr>
        <w:t>本级政务服务第三方评估要点</w:t>
      </w:r>
    </w:p>
    <w:tbl>
      <w:tblPr>
        <w:tblW w:w="8359" w:type="dxa"/>
        <w:tblCellSpacing w:w="0" w:type="dxa"/>
        <w:tblInd w:w="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0"/>
        <w:gridCol w:w="1430"/>
        <w:gridCol w:w="4054"/>
        <w:gridCol w:w="2035"/>
      </w:tblGrid>
      <w:tr w:rsidR="00CE36A0">
        <w:trPr>
          <w:trHeight w:val="250"/>
          <w:tblCellSpacing w:w="0" w:type="dxa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ascii="黑体" w:eastAsia="黑体" w:hAnsi="宋体" w:cs="黑体"/>
                <w:color w:val="000000"/>
                <w:sz w:val="19"/>
                <w:szCs w:val="19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z w:val="19"/>
                <w:szCs w:val="19"/>
              </w:rPr>
              <w:t>评估指标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z w:val="19"/>
                <w:szCs w:val="19"/>
              </w:rPr>
              <w:t>指标内容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z w:val="15"/>
                <w:szCs w:val="15"/>
              </w:rPr>
              <w:t>责任单位</w:t>
            </w:r>
          </w:p>
        </w:tc>
      </w:tr>
      <w:tr w:rsidR="00CE36A0">
        <w:trPr>
          <w:trHeight w:val="1140"/>
          <w:tblCellSpacing w:w="0" w:type="dxa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z w:val="19"/>
                <w:szCs w:val="19"/>
              </w:rPr>
              <w:t>推进落实惠企政策“免申即享”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1.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收集各部门尤其是县本级的“免申即享”惠企政策，建立惠企政策政策库、公布政策清单，并在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温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县人民政府网、云上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温县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上传惠企政策。</w:t>
            </w:r>
          </w:p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2.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其他相关部门落实“免申即享”惠企政策，应用在实际工作中并形成案例。报送工作案例和宣传信息、图片等佐证资料。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工信局和其他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40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个具有政务服务事项单位</w:t>
            </w:r>
          </w:p>
        </w:tc>
      </w:tr>
      <w:tr w:rsidR="00CE36A0">
        <w:trPr>
          <w:trHeight w:val="950"/>
          <w:tblCellSpacing w:w="0" w:type="dxa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z w:val="19"/>
                <w:szCs w:val="19"/>
              </w:rPr>
              <w:t>清理取消的证明事项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根据信政办《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焦作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市人民政府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关于取消和保留市政府部门证明事项的通知》等文件要求，制定县级文件（以政府发文或政府办发文），明确取消的事项和保留的证明事项，已清理取消的证明事项，各部门不允许要求企业和群众提供。提供文件和网站公示截图。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司法局和其他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40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个具有政务服务事项单位</w:t>
            </w:r>
          </w:p>
        </w:tc>
      </w:tr>
      <w:tr w:rsidR="00CE36A0">
        <w:trPr>
          <w:trHeight w:val="1330"/>
          <w:tblCellSpacing w:w="0" w:type="dxa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z w:val="19"/>
                <w:szCs w:val="19"/>
              </w:rPr>
              <w:t>落实证明事项告知承诺工作机制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根据《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焦作市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人民政府办公室关于印发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焦作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全面推行证明事项告知承诺制工作实施方案的通知》落实证明事项告知承诺制工作机制，梳理告知承诺事项清单，在事项办事指南中对承诺可延迟或免交材料进行标注，对相关办理流程进行调整，实现进一步减时限、减环节、减材料。报送工作案例和宣传信息、图片等佐证资料。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司法局和其他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40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个具有政务服务事项单位</w:t>
            </w:r>
          </w:p>
        </w:tc>
      </w:tr>
      <w:tr w:rsidR="00CE36A0">
        <w:trPr>
          <w:trHeight w:val="1900"/>
          <w:tblCellSpacing w:w="0" w:type="dxa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z w:val="19"/>
                <w:szCs w:val="19"/>
              </w:rPr>
              <w:t>全面推行“一件事一次办”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1.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根据《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温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县政务服务“一件事一次办”工作方案》文件要求，各牵头部门要牵头梳理“一件事一次办”业务流程，编制办事指南并对外公布；</w:t>
            </w:r>
          </w:p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2.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各单位要梳理本行业“一件事一次办”事项清单，扩充县级事项清单，逐步实现所有事情“一件事一次办”。</w:t>
            </w:r>
          </w:p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3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、报送办事指南和网站截图、宣传信息、图片等佐证资料。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40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个具有政务服务事项单位</w:t>
            </w:r>
          </w:p>
        </w:tc>
      </w:tr>
      <w:tr w:rsidR="00CE36A0">
        <w:trPr>
          <w:trHeight w:val="1360"/>
          <w:tblCellSpacing w:w="0" w:type="dxa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z w:val="19"/>
                <w:szCs w:val="19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z w:val="19"/>
                <w:szCs w:val="19"/>
              </w:rPr>
              <w:t>落实“三集中</w:t>
            </w:r>
            <w:r>
              <w:rPr>
                <w:rFonts w:ascii="黑体" w:eastAsia="黑体" w:hAnsi="宋体" w:cs="黑体" w:hint="eastAsia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sz w:val="19"/>
                <w:szCs w:val="19"/>
              </w:rPr>
              <w:t>三到位”工作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1.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40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个单位及事项全部进驻政务服务大厅，审批职能要向政务服务股集中，政务服务股整体进驻政务服务大厅；</w:t>
            </w:r>
          </w:p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2.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已完成集中到政务服务股且已进驻到政务服务大厅的部门，必须授权一名工作人员在窗口后台行使部门审批职权，开展审批工作。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40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个具有政务服务事项单位</w:t>
            </w:r>
          </w:p>
        </w:tc>
      </w:tr>
      <w:tr w:rsidR="00CE36A0">
        <w:trPr>
          <w:trHeight w:val="3800"/>
          <w:tblCellSpacing w:w="0" w:type="dxa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z w:val="19"/>
                <w:szCs w:val="19"/>
              </w:rPr>
              <w:lastRenderedPageBreak/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z w:val="19"/>
                <w:szCs w:val="19"/>
              </w:rPr>
              <w:t>乡镇便民服务体系建设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1.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落实乡镇机构改革要求，确保乡镇（街道）党政便民服务中心工作人员到岗到位，村级便民服务站配备专（兼）职人员，明确一名领导负责便民服务中心和村级便民服站的建设和管理；</w:t>
            </w:r>
          </w:p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2.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足额保障基层便民服务体系建设专项资金；</w:t>
            </w:r>
          </w:p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3.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开展基层便民服务机构工作人员业务培训，确保能办事，办好事；</w:t>
            </w:r>
          </w:p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4.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将户籍管理、自然资源管理、人口计生服务、社会保障、劳动保障、养老保障、医疗保障、脱贫帮扶、农业农村管理和服务、乡村建设管理和服务、营商管理和服务、服役退役服务、党务管理服务等事项全部纳入便民服务中心办理，设置综合受理窗口，实现“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一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站式”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集成服务；</w:t>
            </w:r>
          </w:p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5.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开展政务服务“好差评”，实现可办事项“好差评”全覆盖，并能有效应用。不具备评价设备覆盖条件的便民服务中心，可以张贴静态二维码或提供书面评价表格，引导服务对象自主评价；加强宣传引导，确保办事群众知晓“好差评”，窗口工作人员邀请评价率达到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100%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，确保“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一次一评”“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一事一评”；</w:t>
            </w:r>
          </w:p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6.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差评及时整改，落实窗口回访登记。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11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个乡镇</w:t>
            </w:r>
          </w:p>
        </w:tc>
      </w:tr>
      <w:tr w:rsidR="00CE36A0">
        <w:trPr>
          <w:trHeight w:val="1140"/>
          <w:tblCellSpacing w:w="0" w:type="dxa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z w:val="19"/>
                <w:szCs w:val="19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z w:val="19"/>
                <w:szCs w:val="19"/>
              </w:rPr>
              <w:t>规范行政审批中介服务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1.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加强中介超市宣传推广和使用力度，根据中介服务清单，将所有中介机构全部引入网上中介超市，提高中介超市使用率；</w:t>
            </w:r>
          </w:p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2.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各部门要引导办事群众使用中介超市，每月在中介服务超市至少办理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件中介服务。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40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个具有政务服务事项单位</w:t>
            </w:r>
          </w:p>
        </w:tc>
      </w:tr>
      <w:tr w:rsidR="00CE36A0">
        <w:trPr>
          <w:trHeight w:val="2480"/>
          <w:tblCellSpacing w:w="0" w:type="dxa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z w:val="19"/>
                <w:szCs w:val="19"/>
              </w:rPr>
              <w:t>落实好差评工作机制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1.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对于已对接省政务服务“好差评”系统的部门要做到“一事一评”，对于还未对接的部门加快部门业务系统与省政务服务“好差评”系统对接，未对接前使用叫号评价，做到办事即评；</w:t>
            </w:r>
          </w:p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2.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做好“好差评”工作宣传，加强窗口工作人员现场评价邀请力度，让群众会使用二维码、评价器评价，做好电话邀评，做到“一事一评”，做到窗口评价全覆盖，提升政务服务质量；</w:t>
            </w:r>
          </w:p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3.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差评及时整改，并落实窗口回访登记。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40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个具有政务服务事项单位</w:t>
            </w:r>
          </w:p>
        </w:tc>
      </w:tr>
      <w:tr w:rsidR="00CE36A0">
        <w:trPr>
          <w:trHeight w:val="1720"/>
          <w:tblCellSpacing w:w="0" w:type="dxa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z w:val="19"/>
                <w:szCs w:val="19"/>
              </w:rPr>
              <w:lastRenderedPageBreak/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z w:val="19"/>
                <w:szCs w:val="19"/>
              </w:rPr>
              <w:t>做好政务服务事项星级、承诺时限、网上受理率等指标提升工作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1.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根据河南省基本目录和放权赋能工作要求，做好政务服务事项动态调整，并及时录入到河南政务服务网；</w:t>
            </w:r>
          </w:p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2.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做好网上指标的提升：事项星级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3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星以上，行政许可即办件占比达到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60%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，承诺办结时限即办件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1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天，承诺件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天，网上受理率达到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80%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以上，事项发生率达到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100%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。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40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个具有政务服务事项单位</w:t>
            </w:r>
          </w:p>
        </w:tc>
      </w:tr>
      <w:tr w:rsidR="00CE36A0">
        <w:trPr>
          <w:trHeight w:val="570"/>
          <w:tblCellSpacing w:w="0" w:type="dxa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z w:val="19"/>
                <w:szCs w:val="19"/>
              </w:rPr>
              <w:t>为企业群众提供便捷服务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通过预约、延时服务、限时办结、上门服务、帮办代办等多种服务模式为企业群众提供便捷服务。报送工作案例和宣传信息、图片等佐证资料。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40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个具有政务服务事项单位</w:t>
            </w:r>
          </w:p>
        </w:tc>
      </w:tr>
      <w:tr w:rsidR="00CE36A0">
        <w:trPr>
          <w:trHeight w:val="950"/>
          <w:tblCellSpacing w:w="0" w:type="dxa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z w:val="19"/>
                <w:szCs w:val="19"/>
              </w:rPr>
              <w:t>电子证照数据归集和应用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1.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对照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焦作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市电子证照库系统，对于本部门的证照“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应录尽录”，确保每个证照有数据。</w:t>
            </w:r>
          </w:p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2.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加大电子证照数据归集量，对省级下发已制作的电子证照模版，除国建省建系统，所有电子证照数据做到全量推送、录入到市电子证照库。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40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个具有政务服务事项单位</w:t>
            </w:r>
          </w:p>
        </w:tc>
      </w:tr>
      <w:tr w:rsidR="00CE36A0">
        <w:trPr>
          <w:trHeight w:val="570"/>
          <w:tblCellSpacing w:w="0" w:type="dxa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z w:val="19"/>
                <w:szCs w:val="19"/>
              </w:rPr>
              <w:t>不允许出现兜底性条款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公布在政府网站、公众号、办事窗口等的办事指南要全面清理是否存在“其他材料”、“有关材料”等兜底性条款，应该逐一梳理取消。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40</w:t>
            </w:r>
            <w:r>
              <w:rPr>
                <w:rFonts w:ascii="仿宋_GB2312" w:eastAsia="仿宋_GB2312" w:hAnsi="微软雅黑" w:cs="仿宋_GB2312" w:hint="eastAsia"/>
                <w:color w:val="000000"/>
                <w:sz w:val="19"/>
                <w:szCs w:val="19"/>
              </w:rPr>
              <w:t>个具有政务服务事项单位</w:t>
            </w:r>
          </w:p>
        </w:tc>
      </w:tr>
    </w:tbl>
    <w:p w:rsidR="00CE36A0" w:rsidRDefault="00CE36A0">
      <w:pPr>
        <w:spacing w:line="560" w:lineRule="exact"/>
        <w:ind w:firstLineChars="200" w:firstLine="640"/>
        <w:rPr>
          <w:rFonts w:ascii="仿宋" w:eastAsia="仿宋" w:hAnsi="仿宋" w:cs="仿宋"/>
          <w:bCs/>
          <w:snapToGrid w:val="0"/>
          <w:kern w:val="0"/>
          <w:sz w:val="32"/>
          <w:szCs w:val="32"/>
          <w:shd w:val="clear" w:color="auto" w:fill="FFFFFF"/>
        </w:rPr>
      </w:pPr>
    </w:p>
    <w:p w:rsidR="00CE36A0" w:rsidRDefault="00B21A72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222222"/>
          <w:sz w:val="16"/>
          <w:szCs w:val="16"/>
        </w:rPr>
      </w:pPr>
      <w:r>
        <w:rPr>
          <w:rFonts w:ascii="宋体" w:eastAsia="宋体" w:hAnsi="宋体" w:cs="宋体" w:hint="eastAsia"/>
          <w:color w:val="222222"/>
          <w:sz w:val="20"/>
          <w:szCs w:val="20"/>
          <w:shd w:val="clear" w:color="auto" w:fill="FFFFFF"/>
        </w:rPr>
        <w:t>附件</w:t>
      </w:r>
      <w:r>
        <w:rPr>
          <w:rFonts w:ascii="Calibri" w:eastAsia="宋体" w:hAnsi="Calibri" w:cs="Calibri"/>
          <w:color w:val="222222"/>
          <w:sz w:val="20"/>
          <w:szCs w:val="20"/>
          <w:shd w:val="clear" w:color="auto" w:fill="FFFFFF"/>
        </w:rPr>
        <w:t>2</w:t>
      </w:r>
    </w:p>
    <w:p w:rsidR="00CE36A0" w:rsidRDefault="00B21A72">
      <w:pPr>
        <w:pStyle w:val="a7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222222"/>
          <w:sz w:val="16"/>
          <w:szCs w:val="16"/>
        </w:rPr>
      </w:pPr>
      <w:r>
        <w:rPr>
          <w:rFonts w:ascii="方正小标宋_GBK" w:eastAsia="方正小标宋_GBK" w:hAnsi="方正小标宋_GBK" w:cs="方正小标宋_GBK"/>
          <w:color w:val="222222"/>
          <w:sz w:val="29"/>
          <w:szCs w:val="29"/>
          <w:shd w:val="clear" w:color="auto" w:fill="FFFFFF"/>
        </w:rPr>
        <w:t>乡镇（街道）</w:t>
      </w:r>
      <w:r>
        <w:rPr>
          <w:rFonts w:ascii="方正小标宋_GBK" w:eastAsia="方正小标宋_GBK" w:hAnsi="方正小标宋_GBK" w:cs="方正小标宋_GBK" w:hint="eastAsia"/>
          <w:color w:val="222222"/>
          <w:sz w:val="29"/>
          <w:szCs w:val="29"/>
          <w:shd w:val="clear" w:color="auto" w:fill="FFFFFF"/>
        </w:rPr>
        <w:t>政务服务第三方评估要点</w:t>
      </w:r>
    </w:p>
    <w:tbl>
      <w:tblPr>
        <w:tblW w:w="7680" w:type="dxa"/>
        <w:tblCellSpacing w:w="0" w:type="dxa"/>
        <w:tblInd w:w="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"/>
        <w:gridCol w:w="1020"/>
        <w:gridCol w:w="4696"/>
        <w:gridCol w:w="2834"/>
      </w:tblGrid>
      <w:tr w:rsidR="00CE36A0">
        <w:trPr>
          <w:trHeight w:val="450"/>
          <w:tblCellSpacing w:w="0" w:type="dxa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ascii="黑体" w:eastAsia="黑体" w:hAnsi="宋体" w:cs="黑体"/>
                <w:color w:val="000000"/>
                <w:sz w:val="19"/>
                <w:szCs w:val="19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both"/>
              <w:textAlignment w:val="center"/>
            </w:pPr>
            <w:r>
              <w:rPr>
                <w:rStyle w:val="a8"/>
                <w:rFonts w:ascii="宋体" w:eastAsia="宋体" w:hAnsi="宋体" w:cs="宋体" w:hint="eastAsia"/>
                <w:bCs/>
                <w:color w:val="000000"/>
                <w:sz w:val="19"/>
                <w:szCs w:val="19"/>
              </w:rPr>
              <w:t>评估指标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z w:val="19"/>
                <w:szCs w:val="19"/>
              </w:rPr>
              <w:t>指标内容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z w:val="19"/>
                <w:szCs w:val="19"/>
              </w:rPr>
              <w:t>责任单位</w:t>
            </w:r>
          </w:p>
        </w:tc>
      </w:tr>
      <w:tr w:rsidR="00CE36A0">
        <w:trPr>
          <w:trHeight w:val="770"/>
          <w:tblCellSpacing w:w="0" w:type="dxa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Style w:val="a8"/>
                <w:rFonts w:ascii="宋体" w:eastAsia="宋体" w:hAnsi="宋体" w:cs="宋体" w:hint="eastAsia"/>
                <w:bCs/>
                <w:color w:val="000000"/>
                <w:sz w:val="19"/>
                <w:szCs w:val="19"/>
              </w:rPr>
              <w:t>位置面积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中心选址交通便利，人口较为集中。</w:t>
            </w:r>
          </w:p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使用面积不低于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150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平方米，建筑结构符合敞开式办公要求。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乡镇、街道党政便民服务中心，村便民服务站</w:t>
            </w:r>
          </w:p>
        </w:tc>
      </w:tr>
      <w:tr w:rsidR="00CE36A0">
        <w:trPr>
          <w:trHeight w:val="560"/>
          <w:tblCellSpacing w:w="0" w:type="dxa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Style w:val="a8"/>
                <w:rFonts w:ascii="宋体" w:eastAsia="宋体" w:hAnsi="宋体" w:cs="宋体" w:hint="eastAsia"/>
                <w:bCs/>
                <w:color w:val="000000"/>
                <w:sz w:val="19"/>
                <w:szCs w:val="19"/>
              </w:rPr>
              <w:t>人员配备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有正式文件成立领导小组，明确了分管领导和组成人员。</w:t>
            </w:r>
          </w:p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中心编制人员满额且正常在岗，明确了主任、副主任、业务骨干。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乡镇、街道党政便民服务中心，村便民服务站</w:t>
            </w:r>
          </w:p>
        </w:tc>
      </w:tr>
      <w:tr w:rsidR="00CE36A0">
        <w:trPr>
          <w:trHeight w:val="510"/>
          <w:tblCellSpacing w:w="0" w:type="dxa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Style w:val="a8"/>
                <w:rFonts w:ascii="宋体" w:eastAsia="宋体" w:hAnsi="宋体" w:cs="宋体" w:hint="eastAsia"/>
                <w:bCs/>
                <w:color w:val="000000"/>
                <w:sz w:val="19"/>
                <w:szCs w:val="19"/>
              </w:rPr>
              <w:t>窗口设置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设置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个综合窗口，设置窗口服务区、自助服务区、咨询投诉区、等候区四个服务专区。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乡镇、街道党政便民服务中心，村便民服务站</w:t>
            </w:r>
          </w:p>
        </w:tc>
      </w:tr>
      <w:tr w:rsidR="00CE36A0">
        <w:trPr>
          <w:trHeight w:val="1040"/>
          <w:tblCellSpacing w:w="0" w:type="dxa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Style w:val="a8"/>
                <w:rFonts w:ascii="宋体" w:eastAsia="宋体" w:hAnsi="宋体" w:cs="宋体" w:hint="eastAsia"/>
                <w:bCs/>
                <w:color w:val="000000"/>
                <w:sz w:val="19"/>
                <w:szCs w:val="19"/>
              </w:rPr>
              <w:t>部门进驻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村建、市场监管（工商、食药监）、计生、民政（残联）、农业农村、社保、退役军人、文化、自然资源等相关业务所属部门应进必进。</w:t>
            </w:r>
          </w:p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进驻部门人员明确，正常轮值到岗工作。</w:t>
            </w:r>
          </w:p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lastRenderedPageBreak/>
              <w:t>3.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每个乡镇严格按照标准打造村级便民服务站试点。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lastRenderedPageBreak/>
              <w:t>乡镇、街道党政便民服务中心，村便民服务站</w:t>
            </w:r>
          </w:p>
        </w:tc>
      </w:tr>
      <w:tr w:rsidR="00CE36A0">
        <w:trPr>
          <w:trHeight w:val="950"/>
          <w:tblCellSpacing w:w="0" w:type="dxa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lastRenderedPageBreak/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Style w:val="a8"/>
                <w:rFonts w:ascii="宋体" w:eastAsia="宋体" w:hAnsi="宋体" w:cs="宋体" w:hint="eastAsia"/>
                <w:bCs/>
                <w:color w:val="000000"/>
                <w:sz w:val="19"/>
                <w:szCs w:val="19"/>
              </w:rPr>
              <w:t>设施设备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配备必要办公设备，电脑、打印复印机、高拍仪、评价器设备正常使用。</w:t>
            </w:r>
          </w:p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设置便民桌椅，并提供签字笔、老花眼镜、饮用水、纸杯、应急医药箱等。</w:t>
            </w:r>
          </w:p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有公共卫生间，并保持设施完好和清洁卫生。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乡镇、街道党政便民服务中心，村便民服务站</w:t>
            </w:r>
          </w:p>
        </w:tc>
      </w:tr>
      <w:tr w:rsidR="00CE36A0">
        <w:trPr>
          <w:trHeight w:val="1870"/>
          <w:tblCellSpacing w:w="0" w:type="dxa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Style w:val="a8"/>
                <w:rFonts w:ascii="宋体" w:eastAsia="宋体" w:hAnsi="宋体" w:cs="宋体" w:hint="eastAsia"/>
                <w:bCs/>
                <w:color w:val="000000"/>
                <w:sz w:val="19"/>
                <w:szCs w:val="19"/>
              </w:rPr>
              <w:t>网办能力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市场监管（工商）、人社、电子政务外网三个专网全部接入，并运行畅通。</w:t>
            </w:r>
          </w:p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所有工作人员能够通过河南政务服务网、豫事办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APP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及支付宝小程序等手机端帮助群众申请办理事项。</w:t>
            </w:r>
          </w:p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所有工作人员能够通过罗山县政务服务网上平台进行受理、审核、审批、办结。</w:t>
            </w:r>
          </w:p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  <w:rPr>
                <w:rFonts w:ascii="宋体" w:eastAsia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所有工作人员对政务服务一体机操作熟练。</w:t>
            </w:r>
          </w:p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必须公开必须公布两个事项清单：（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）河南省乡村事项目录（网上确实可办）；（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）本地便民服务应用清单（确实可办的帮办代办服务清单）；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乡镇、街道党政便民服务中心，村便民服务站</w:t>
            </w:r>
          </w:p>
        </w:tc>
      </w:tr>
      <w:tr w:rsidR="00CE36A0">
        <w:trPr>
          <w:trHeight w:val="1030"/>
          <w:tblCellSpacing w:w="0" w:type="dxa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Style w:val="a8"/>
                <w:rFonts w:ascii="宋体" w:eastAsia="宋体" w:hAnsi="宋体" w:cs="宋体" w:hint="eastAsia"/>
                <w:bCs/>
                <w:color w:val="000000"/>
                <w:sz w:val="19"/>
                <w:szCs w:val="19"/>
              </w:rPr>
              <w:t>好差评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在部门自建平台和县政务服务网上平台进行受理办结的事项，在事后当场通过评价器、二维码进行评价，做到一事一评。</w:t>
            </w:r>
          </w:p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帮助群众通过移动端办理的事项引导群众进行评价。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乡镇、街道党政便民服务中心，村便民服务站</w:t>
            </w:r>
          </w:p>
        </w:tc>
      </w:tr>
      <w:tr w:rsidR="00CE36A0">
        <w:trPr>
          <w:trHeight w:val="1250"/>
          <w:tblCellSpacing w:w="0" w:type="dxa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jc w:val="center"/>
              <w:textAlignment w:val="center"/>
            </w:pPr>
            <w:r>
              <w:rPr>
                <w:rStyle w:val="a8"/>
                <w:rFonts w:ascii="宋体" w:eastAsia="宋体" w:hAnsi="宋体" w:cs="宋体" w:hint="eastAsia"/>
                <w:bCs/>
                <w:color w:val="000000"/>
                <w:sz w:val="19"/>
                <w:szCs w:val="19"/>
              </w:rPr>
              <w:t>制度建设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建立健全制度。建立并落实代办制度、一次告知制、首问负责制、预约服务制度、限时办结制等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项制度，并至少制作前述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项制度版面上墙。</w:t>
            </w:r>
          </w:p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便民服务大厅有咨询和投诉电话。</w:t>
            </w:r>
          </w:p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建立值班考勤制度，有考勤记录。</w:t>
            </w:r>
          </w:p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  <w:rPr>
                <w:rFonts w:ascii="微软雅黑" w:eastAsia="微软雅黑" w:hAnsi="微软雅黑" w:cs="微软雅黑"/>
                <w:color w:val="222222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每个窗口必须有办事指南。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6A0" w:rsidRDefault="00B21A72">
            <w:pPr>
              <w:pStyle w:val="a7"/>
              <w:widowControl/>
              <w:spacing w:beforeAutospacing="0" w:afterAutospacing="0"/>
              <w:textAlignment w:val="center"/>
              <w:rPr>
                <w:rFonts w:ascii="微软雅黑" w:eastAsia="微软雅黑" w:hAnsi="微软雅黑" w:cs="微软雅黑"/>
                <w:color w:val="222222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乡镇、街道党政便民服务中心，村便民服务站</w:t>
            </w:r>
          </w:p>
        </w:tc>
      </w:tr>
    </w:tbl>
    <w:p w:rsidR="00CE36A0" w:rsidRDefault="00CE36A0">
      <w:pPr>
        <w:spacing w:line="560" w:lineRule="exact"/>
        <w:ind w:firstLineChars="200" w:firstLine="640"/>
        <w:rPr>
          <w:rFonts w:ascii="仿宋" w:eastAsia="仿宋" w:hAnsi="仿宋" w:cs="仿宋"/>
          <w:bCs/>
          <w:snapToGrid w:val="0"/>
          <w:kern w:val="0"/>
          <w:sz w:val="32"/>
          <w:szCs w:val="32"/>
          <w:shd w:val="clear" w:color="auto" w:fill="FFFFFF"/>
        </w:rPr>
      </w:pPr>
    </w:p>
    <w:p w:rsidR="00CE36A0" w:rsidRDefault="00CE36A0">
      <w:pPr>
        <w:spacing w:line="560" w:lineRule="exact"/>
        <w:ind w:firstLineChars="200" w:firstLine="640"/>
        <w:jc w:val="right"/>
        <w:rPr>
          <w:rFonts w:ascii="仿宋" w:eastAsia="仿宋" w:hAnsi="仿宋" w:cs="仿宋"/>
          <w:bCs/>
          <w:snapToGrid w:val="0"/>
          <w:kern w:val="0"/>
          <w:sz w:val="32"/>
          <w:szCs w:val="32"/>
          <w:shd w:val="clear" w:color="auto" w:fill="FFFFFF"/>
        </w:rPr>
      </w:pPr>
    </w:p>
    <w:p w:rsidR="00CE36A0" w:rsidRDefault="00CE36A0">
      <w:pPr>
        <w:spacing w:line="560" w:lineRule="exact"/>
        <w:ind w:firstLineChars="200" w:firstLine="640"/>
        <w:jc w:val="right"/>
        <w:rPr>
          <w:rFonts w:ascii="仿宋" w:eastAsia="仿宋" w:hAnsi="仿宋" w:cs="仿宋"/>
          <w:bCs/>
          <w:snapToGrid w:val="0"/>
          <w:kern w:val="0"/>
          <w:sz w:val="32"/>
          <w:szCs w:val="32"/>
          <w:shd w:val="clear" w:color="auto" w:fill="FFFFFF"/>
        </w:rPr>
      </w:pPr>
    </w:p>
    <w:p w:rsidR="00CE36A0" w:rsidRDefault="00CE36A0">
      <w:pPr>
        <w:tabs>
          <w:tab w:val="left" w:pos="733"/>
        </w:tabs>
        <w:jc w:val="left"/>
      </w:pPr>
    </w:p>
    <w:p w:rsidR="00CE36A0" w:rsidRDefault="00CE36A0">
      <w:pPr>
        <w:pStyle w:val="a3"/>
      </w:pPr>
    </w:p>
    <w:sectPr w:rsidR="00CE36A0" w:rsidSect="00CE36A0">
      <w:footerReference w:type="even" r:id="rId7"/>
      <w:footerReference w:type="default" r:id="rId8"/>
      <w:pgSz w:w="11906" w:h="16838"/>
      <w:pgMar w:top="2098" w:right="1474" w:bottom="1985" w:left="1588" w:header="851" w:footer="119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A72" w:rsidRDefault="00B21A72" w:rsidP="00CE36A0">
      <w:r>
        <w:separator/>
      </w:r>
    </w:p>
  </w:endnote>
  <w:endnote w:type="continuationSeparator" w:id="1">
    <w:p w:rsidR="00B21A72" w:rsidRDefault="00B21A72" w:rsidP="00CE3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6A0" w:rsidRDefault="00CE36A0">
    <w:pPr>
      <w:pStyle w:val="a5"/>
      <w:rPr>
        <w:rFonts w:ascii="仿宋_GB2312" w:eastAsia="仿宋_GB2312"/>
        <w:sz w:val="28"/>
        <w:szCs w:val="28"/>
      </w:rPr>
    </w:pPr>
    <w:r w:rsidRPr="00CE36A0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 filled="f" stroked="f" strokeweight=".5pt">
          <v:textbox style="mso-fit-shape-to-text:t" inset="0,0,0,0">
            <w:txbxContent>
              <w:p w:rsidR="00CE36A0" w:rsidRDefault="00B21A72">
                <w:pPr>
                  <w:pStyle w:val="a5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CE36A0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CE36A0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6165DA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2</w:t>
                </w:r>
                <w:r w:rsidR="00CE36A0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6A0" w:rsidRDefault="00CE36A0">
    <w:pPr>
      <w:pStyle w:val="a5"/>
      <w:jc w:val="right"/>
      <w:rPr>
        <w:rFonts w:ascii="仿宋_GB2312" w:eastAsia="仿宋_GB2312" w:hAnsiTheme="minorEastAsia"/>
        <w:sz w:val="28"/>
        <w:szCs w:val="28"/>
      </w:rPr>
    </w:pPr>
    <w:r w:rsidRPr="00CE36A0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 filled="f" stroked="f" strokeweight=".5pt">
          <v:textbox style="mso-fit-shape-to-text:t" inset="0,0,0,0">
            <w:txbxContent>
              <w:p w:rsidR="00CE36A0" w:rsidRDefault="00B21A72">
                <w:pPr>
                  <w:pStyle w:val="a5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CE36A0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CE36A0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6165DA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CE36A0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A72" w:rsidRDefault="00B21A72" w:rsidP="00CE36A0">
      <w:r>
        <w:separator/>
      </w:r>
    </w:p>
  </w:footnote>
  <w:footnote w:type="continuationSeparator" w:id="1">
    <w:p w:rsidR="00B21A72" w:rsidRDefault="00B21A72" w:rsidP="00CE36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I3ZmE3MTA1OTUxNDc3OGU4NTk3MzAyZmEzNTM1MjMifQ=="/>
  </w:docVars>
  <w:rsids>
    <w:rsidRoot w:val="00DD0D56"/>
    <w:rsid w:val="87E68628"/>
    <w:rsid w:val="9EC7A708"/>
    <w:rsid w:val="BF7E459B"/>
    <w:rsid w:val="BFAB544A"/>
    <w:rsid w:val="CBFBF691"/>
    <w:rsid w:val="EF379BF3"/>
    <w:rsid w:val="FAEBB304"/>
    <w:rsid w:val="FFD25196"/>
    <w:rsid w:val="001B59DB"/>
    <w:rsid w:val="001C4283"/>
    <w:rsid w:val="002A3149"/>
    <w:rsid w:val="00352F9B"/>
    <w:rsid w:val="0040248C"/>
    <w:rsid w:val="004B0961"/>
    <w:rsid w:val="005A1BA4"/>
    <w:rsid w:val="006165DA"/>
    <w:rsid w:val="00774D5D"/>
    <w:rsid w:val="00A23EBE"/>
    <w:rsid w:val="00B21A72"/>
    <w:rsid w:val="00BF6C32"/>
    <w:rsid w:val="00CA0C91"/>
    <w:rsid w:val="00CE36A0"/>
    <w:rsid w:val="00DD0D56"/>
    <w:rsid w:val="00E56E7E"/>
    <w:rsid w:val="00EB5733"/>
    <w:rsid w:val="090979B2"/>
    <w:rsid w:val="19FF6488"/>
    <w:rsid w:val="1B2E53D3"/>
    <w:rsid w:val="3236219B"/>
    <w:rsid w:val="353C20B9"/>
    <w:rsid w:val="4BB65E1F"/>
    <w:rsid w:val="4E1253D1"/>
    <w:rsid w:val="52D25C7A"/>
    <w:rsid w:val="5B135507"/>
    <w:rsid w:val="5C6DCD30"/>
    <w:rsid w:val="77FD2655"/>
    <w:rsid w:val="7CAC52CE"/>
    <w:rsid w:val="7FFA9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sid w:val="00CE36A0"/>
  </w:style>
  <w:style w:type="paragraph" w:styleId="a4">
    <w:name w:val="Date"/>
    <w:basedOn w:val="a"/>
    <w:next w:val="a"/>
    <w:link w:val="Char"/>
    <w:uiPriority w:val="99"/>
    <w:semiHidden/>
    <w:unhideWhenUsed/>
    <w:qFormat/>
    <w:rsid w:val="00CE36A0"/>
    <w:pPr>
      <w:ind w:leftChars="2500" w:left="100"/>
    </w:pPr>
  </w:style>
  <w:style w:type="paragraph" w:styleId="a5">
    <w:name w:val="footer"/>
    <w:basedOn w:val="a"/>
    <w:link w:val="Char0"/>
    <w:uiPriority w:val="99"/>
    <w:unhideWhenUsed/>
    <w:qFormat/>
    <w:rsid w:val="00CE3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CE3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rsid w:val="00CE36A0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a7">
    <w:name w:val="Normal (Web)"/>
    <w:basedOn w:val="a"/>
    <w:qFormat/>
    <w:rsid w:val="00CE36A0"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qFormat/>
    <w:rsid w:val="00CE36A0"/>
    <w:rPr>
      <w:b/>
    </w:rPr>
  </w:style>
  <w:style w:type="character" w:customStyle="1" w:styleId="Char">
    <w:name w:val="日期 Char"/>
    <w:basedOn w:val="a0"/>
    <w:link w:val="a4"/>
    <w:uiPriority w:val="99"/>
    <w:semiHidden/>
    <w:qFormat/>
    <w:rsid w:val="00CE36A0"/>
  </w:style>
  <w:style w:type="character" w:customStyle="1" w:styleId="Char1">
    <w:name w:val="页眉 Char"/>
    <w:basedOn w:val="a0"/>
    <w:link w:val="a6"/>
    <w:uiPriority w:val="99"/>
    <w:qFormat/>
    <w:rsid w:val="00CE36A0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CE36A0"/>
    <w:rPr>
      <w:sz w:val="18"/>
      <w:szCs w:val="18"/>
    </w:rPr>
  </w:style>
  <w:style w:type="paragraph" w:customStyle="1" w:styleId="Heading11">
    <w:name w:val="Heading #1|1"/>
    <w:basedOn w:val="a"/>
    <w:qFormat/>
    <w:rsid w:val="00CE36A0"/>
    <w:pPr>
      <w:spacing w:after="840"/>
      <w:outlineLvl w:val="0"/>
    </w:pPr>
    <w:rPr>
      <w:rFonts w:ascii="宋体" w:eastAsia="宋体" w:hAnsi="宋体" w:cs="宋体"/>
      <w:color w:val="CD465E"/>
      <w:sz w:val="66"/>
      <w:szCs w:val="66"/>
      <w:lang w:val="zh-TW" w:eastAsia="zh-TW" w:bidi="zh-TW"/>
    </w:rPr>
  </w:style>
  <w:style w:type="paragraph" w:customStyle="1" w:styleId="Bodytext1">
    <w:name w:val="Body text|1"/>
    <w:basedOn w:val="a"/>
    <w:qFormat/>
    <w:rsid w:val="00CE36A0"/>
    <w:pPr>
      <w:spacing w:line="451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1551</Words>
  <Characters>1615</Characters>
  <Application>Microsoft Office Word</Application>
  <DocSecurity>0</DocSecurity>
  <Lines>89</Lines>
  <Paragraphs>52</Paragraphs>
  <ScaleCrop>false</ScaleCrop>
  <Company>Organization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2023-06-28T17:39:00Z</cp:lastPrinted>
  <dcterms:created xsi:type="dcterms:W3CDTF">2023-07-23T13:15:00Z</dcterms:created>
  <dcterms:modified xsi:type="dcterms:W3CDTF">2023-07-23T13:15:00Z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1949749B7AB4446B8F5EFDDBBC7B2F93_13</vt:lpwstr>
  </property>
</Properties>
</file>