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DD" w:rsidRDefault="0000218D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温县城市基础设施配套费征收管理办法</w:t>
      </w:r>
    </w:p>
    <w:p w:rsidR="00781DDD" w:rsidRDefault="000530F3" w:rsidP="000530F3">
      <w:pPr>
        <w:pStyle w:val="a5"/>
        <w:widowControl/>
        <w:shd w:val="clear" w:color="auto" w:fill="FFFFFF"/>
        <w:spacing w:beforeAutospacing="0" w:afterAutospacing="0"/>
        <w:ind w:firstLineChars="190" w:firstLine="456"/>
        <w:jc w:val="center"/>
        <w:rPr>
          <w:rFonts w:hint="eastAsia"/>
        </w:rPr>
      </w:pPr>
      <w:r>
        <w:t>（征求意见稿）</w:t>
      </w:r>
    </w:p>
    <w:p w:rsidR="000530F3" w:rsidRDefault="000530F3" w:rsidP="000530F3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center"/>
        <w:rPr>
          <w:rFonts w:ascii="仿宋" w:eastAsia="仿宋" w:hAnsi="仿宋" w:cs="仿宋"/>
          <w:color w:val="333333"/>
          <w:sz w:val="32"/>
          <w:szCs w:val="32"/>
        </w:rPr>
      </w:pP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第一条　为进一步规范城市基础设施配套费的征收、使用和管理，根据国家、省、市有关文件精神，结合我县实际，制定本办法。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第二条　城市基础设施配套费是指按城市总体规划实施的需要，为筹集城市基础设施建设资金收取的费用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第三条　凡在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温县城市规划区（老城区、新城区、经开区、陈家沟文化旅游区）确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定的建设用地范围内新建、扩建和改建的建设项目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（含临时建设项目）的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个人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应按照本办法缴纳城市基础设施配套费。个人自建低层住宅暂不缴纳城市基础设施配套费。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第四条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城市基础设施配套费由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县财政部门委托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县住房城乡建设部门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（以下简称征收单位）按照管理权限代征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第五条　建设单位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个人应当在办理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建筑工程施工许可证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前缴纳城市基础设施配套费。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第六条　城市基础设施配套费的征收标准</w:t>
      </w:r>
      <w:bookmarkStart w:id="0" w:name="_GoBack"/>
      <w:bookmarkEnd w:id="0"/>
    </w:p>
    <w:p w:rsidR="00781DDD" w:rsidRDefault="0000218D">
      <w:pPr>
        <w:ind w:firstLineChars="190" w:firstLine="608"/>
        <w:rPr>
          <w:rFonts w:ascii="仿宋" w:eastAsia="仿宋" w:hAnsi="仿宋" w:cs="仿宋"/>
          <w:color w:val="333333"/>
          <w:sz w:val="32"/>
          <w:szCs w:val="32"/>
          <w:u w:val="double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（一）按建设项目的建筑面积计征，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每平方米征收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其中新建项目按《建设工程规划许可证》核准的建筑面积征收，扩建、改建项目按新增建筑面积征收。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（二）工业项目和临时建筑按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333333"/>
          <w:kern w:val="2"/>
          <w:sz w:val="32"/>
          <w:szCs w:val="32"/>
          <w:shd w:val="clear" w:color="auto" w:fill="FFFFFF"/>
        </w:rPr>
        <w:t>平方米征收。</w:t>
      </w:r>
    </w:p>
    <w:p w:rsidR="00781DDD" w:rsidRDefault="0000218D">
      <w:pPr>
        <w:numPr>
          <w:ilvl w:val="0"/>
          <w:numId w:val="1"/>
        </w:numPr>
        <w:ind w:firstLineChars="190" w:firstLine="608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在本办法实施前，凡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县政府通过“一事一议”批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准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在城市基础设施配套费方面实行的优惠政策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的项目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执行至该项目建成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第七条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原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享受减免城市基础设施配套费优惠政策的建设项目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用途发生改变，按改变后的用途缴纳城市基础设施配套费。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第八条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经行政执法部门处罚后予以保留的违章建设项目，应当按规定一次性全额补缴城市基础设施配套费。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第九条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城市基础设施配套费缴纳程序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一）建设单位、个人接到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征收单位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下达的城市基础设施配套费收费通知单后，按规定缴纳到相应的财政专户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（二）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征收单位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在查验建设单位、个人的缴费收据后办理建筑工程施工许可手续。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条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城市基础设施配套费减免政策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凡属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法律、行政法规和中共中央、国务院或者财政部规定减免的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建设项目。</w:t>
      </w:r>
    </w:p>
    <w:p w:rsidR="00781DDD" w:rsidRDefault="0000218D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（二）建设防空地下室的建设项目，应提供县国防动员办公室（人防办）出具的新建民用建筑防空地下室同步建设审查批准书，经批准建设的人防工程免交其人防工程面积的城市基础设施配套费。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）凡属生产和经营性项目不予减免。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平方米及以下的小型</w:t>
      </w:r>
      <w:r>
        <w:rPr>
          <w:rFonts w:ascii="仿宋" w:eastAsia="仿宋" w:hAnsi="仿宋" w:cs="仿宋" w:hint="eastAsia"/>
          <w:sz w:val="32"/>
          <w:szCs w:val="32"/>
        </w:rPr>
        <w:t>仓储物流类项目免征收城市基础设施配套费。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sz w:val="32"/>
          <w:szCs w:val="32"/>
          <w:u w:val="double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</w:t>
      </w:r>
      <w:r>
        <w:rPr>
          <w:rFonts w:ascii="仿宋" w:eastAsia="仿宋" w:hAnsi="仿宋" w:cs="仿宋" w:hint="eastAsia"/>
          <w:sz w:val="32"/>
          <w:szCs w:val="32"/>
        </w:rPr>
        <w:t>教育、医疗、养老、社会福利机构等公益事业建设项目，免征收</w:t>
      </w:r>
      <w:r>
        <w:rPr>
          <w:rFonts w:ascii="仿宋" w:eastAsia="仿宋" w:hAnsi="仿宋" w:cs="仿宋" w:hint="eastAsia"/>
          <w:sz w:val="32"/>
          <w:szCs w:val="32"/>
        </w:rPr>
        <w:t>城市</w:t>
      </w:r>
      <w:r>
        <w:rPr>
          <w:rFonts w:ascii="仿宋" w:eastAsia="仿宋" w:hAnsi="仿宋" w:cs="仿宋" w:hint="eastAsia"/>
          <w:sz w:val="32"/>
          <w:szCs w:val="32"/>
        </w:rPr>
        <w:t>基础设施配套费。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sz w:val="32"/>
          <w:szCs w:val="32"/>
          <w:u w:val="double"/>
        </w:rPr>
      </w:pPr>
      <w:r>
        <w:rPr>
          <w:rFonts w:ascii="仿宋" w:eastAsia="仿宋" w:hAnsi="仿宋" w:cs="仿宋" w:hint="eastAsia"/>
          <w:sz w:val="32"/>
          <w:szCs w:val="32"/>
        </w:rPr>
        <w:t>（五）棚户区改造安置住房、廉租住房、公共租赁住房、保障性租赁住房、经济适用住房、旧住宅区整治等保障性住房项目，免征城市基础设施配套费。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sz w:val="32"/>
          <w:szCs w:val="32"/>
        </w:rPr>
        <w:t>对于采用装配式建筑的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，按照建筑面积，每平方米减收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元城市基础设施配套费。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</w:t>
      </w:r>
      <w:r>
        <w:rPr>
          <w:rFonts w:ascii="仿宋" w:eastAsia="仿宋" w:hAnsi="仿宋" w:cs="仿宋" w:hint="eastAsia"/>
          <w:sz w:val="32"/>
          <w:szCs w:val="32"/>
        </w:rPr>
        <w:t>其它涉及社会稳定或为解决历史遗留问题等确需减免的项目。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第十一条</w:t>
      </w:r>
      <w:r>
        <w:rPr>
          <w:rFonts w:ascii="仿宋" w:eastAsia="仿宋" w:hAnsi="仿宋" w:cs="仿宋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城市基础设施配套费减免申报审批程序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符合本办法第十条第（一）至（六）项规定情形的，由</w:t>
      </w:r>
      <w:r>
        <w:rPr>
          <w:rFonts w:ascii="仿宋" w:eastAsia="仿宋" w:hAnsi="仿宋" w:cs="仿宋" w:hint="eastAsia"/>
          <w:sz w:val="32"/>
          <w:szCs w:val="32"/>
        </w:rPr>
        <w:t>建设单位、个人根据相关文件提出书面申请，文件的有效性及文件内容相关条款的解读、减免政策由县住建部门会同县财政部门认定同意加盖公章后，予以减免。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符合本办法第</w:t>
      </w:r>
      <w:r>
        <w:rPr>
          <w:rFonts w:ascii="仿宋" w:eastAsia="仿宋" w:hAnsi="仿宋" w:cs="仿宋" w:hint="eastAsia"/>
          <w:sz w:val="32"/>
          <w:szCs w:val="32"/>
        </w:rPr>
        <w:t>十</w:t>
      </w:r>
      <w:r>
        <w:rPr>
          <w:rFonts w:ascii="仿宋" w:eastAsia="仿宋" w:hAnsi="仿宋" w:cs="仿宋" w:hint="eastAsia"/>
          <w:sz w:val="32"/>
          <w:szCs w:val="32"/>
        </w:rPr>
        <w:t>条第（</w:t>
      </w:r>
      <w:r>
        <w:rPr>
          <w:rFonts w:ascii="仿宋" w:eastAsia="仿宋" w:hAnsi="仿宋" w:cs="仿宋" w:hint="eastAsia"/>
          <w:sz w:val="32"/>
          <w:szCs w:val="32"/>
        </w:rPr>
        <w:t>七</w:t>
      </w:r>
      <w:r>
        <w:rPr>
          <w:rFonts w:ascii="仿宋" w:eastAsia="仿宋" w:hAnsi="仿宋" w:cs="仿宋" w:hint="eastAsia"/>
          <w:sz w:val="32"/>
          <w:szCs w:val="32"/>
        </w:rPr>
        <w:t>）项规定情形的，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 w:hint="eastAsia"/>
          <w:sz w:val="32"/>
          <w:szCs w:val="32"/>
        </w:rPr>
        <w:t>由项目协调机构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项目所在乡镇</w:t>
      </w:r>
      <w:r>
        <w:rPr>
          <w:rFonts w:ascii="仿宋" w:eastAsia="仿宋" w:hAnsi="仿宋" w:cs="仿宋" w:hint="eastAsia"/>
          <w:sz w:val="32"/>
          <w:szCs w:val="32"/>
        </w:rPr>
        <w:t>人民政府（街道</w:t>
      </w:r>
      <w:r>
        <w:rPr>
          <w:rFonts w:ascii="仿宋" w:eastAsia="仿宋" w:hAnsi="仿宋" w:cs="仿宋" w:hint="eastAsia"/>
          <w:sz w:val="32"/>
          <w:szCs w:val="32"/>
        </w:rPr>
        <w:t>办事处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依据国家、省、市人民政府政策规定提出意见，</w:t>
      </w:r>
      <w:r>
        <w:rPr>
          <w:rFonts w:ascii="仿宋" w:eastAsia="仿宋" w:hAnsi="仿宋" w:cs="仿宋" w:hint="eastAsia"/>
          <w:sz w:val="32"/>
          <w:szCs w:val="32"/>
        </w:rPr>
        <w:t>报</w:t>
      </w:r>
      <w:r>
        <w:rPr>
          <w:rFonts w:ascii="仿宋" w:eastAsia="仿宋" w:hAnsi="仿宋" w:cs="仿宋" w:hint="eastAsia"/>
          <w:sz w:val="32"/>
          <w:szCs w:val="32"/>
        </w:rPr>
        <w:t>相关县领导</w:t>
      </w:r>
      <w:r>
        <w:rPr>
          <w:rFonts w:ascii="仿宋" w:eastAsia="仿宋" w:hAnsi="仿宋" w:cs="仿宋" w:hint="eastAsia"/>
          <w:sz w:val="32"/>
          <w:szCs w:val="32"/>
        </w:rPr>
        <w:t>审核后</w:t>
      </w:r>
      <w:r>
        <w:rPr>
          <w:rFonts w:ascii="仿宋" w:eastAsia="仿宋" w:hAnsi="仿宋" w:cs="仿宋" w:hint="eastAsia"/>
          <w:sz w:val="32"/>
          <w:szCs w:val="32"/>
        </w:rPr>
        <w:t>，提交</w:t>
      </w:r>
      <w:r>
        <w:rPr>
          <w:rFonts w:ascii="仿宋" w:eastAsia="仿宋" w:hAnsi="仿宋" w:cs="仿宋" w:hint="eastAsia"/>
          <w:sz w:val="32"/>
          <w:szCs w:val="32"/>
        </w:rPr>
        <w:t>县</w:t>
      </w:r>
      <w:r>
        <w:rPr>
          <w:rFonts w:ascii="仿宋" w:eastAsia="仿宋" w:hAnsi="仿宋" w:cs="仿宋" w:hint="eastAsia"/>
          <w:sz w:val="32"/>
          <w:szCs w:val="32"/>
        </w:rPr>
        <w:t>人民政府常务会议研究决定。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征收单位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依据县政府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相关文件或县人民政府常务会议纪要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，办理建筑工程施工许可手续。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第十二条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县</w:t>
      </w:r>
      <w:r>
        <w:rPr>
          <w:rFonts w:ascii="仿宋" w:eastAsia="仿宋" w:hAnsi="仿宋" w:cs="仿宋" w:hint="eastAsia"/>
          <w:sz w:val="32"/>
          <w:szCs w:val="32"/>
        </w:rPr>
        <w:t>人民政府减免文件或</w:t>
      </w:r>
      <w:r>
        <w:rPr>
          <w:rFonts w:ascii="仿宋" w:eastAsia="仿宋" w:hAnsi="仿宋" w:cs="仿宋" w:hint="eastAsia"/>
          <w:sz w:val="32"/>
          <w:szCs w:val="32"/>
        </w:rPr>
        <w:t>县</w:t>
      </w:r>
      <w:r>
        <w:rPr>
          <w:rFonts w:ascii="仿宋" w:eastAsia="仿宋" w:hAnsi="仿宋" w:cs="仿宋" w:hint="eastAsia"/>
          <w:sz w:val="32"/>
          <w:szCs w:val="32"/>
        </w:rPr>
        <w:t>人民政府常务会议纪要下达之前，确需办理</w:t>
      </w:r>
      <w:r>
        <w:rPr>
          <w:rFonts w:ascii="仿宋" w:eastAsia="仿宋" w:hAnsi="仿宋" w:cs="仿宋" w:hint="eastAsia"/>
          <w:sz w:val="32"/>
          <w:szCs w:val="32"/>
        </w:rPr>
        <w:t>相关手续</w:t>
      </w:r>
      <w:r>
        <w:rPr>
          <w:rFonts w:ascii="仿宋" w:eastAsia="仿宋" w:hAnsi="仿宋" w:cs="仿宋" w:hint="eastAsia"/>
          <w:sz w:val="32"/>
          <w:szCs w:val="32"/>
        </w:rPr>
        <w:t>的，按先缴后退的原则，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先按标准全额上缴城市基础设施配套费，待批准通过后再予退还。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条　坚持日常监管与专项检查相结合，县发展改革、财政、审计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、住房城乡建设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等部门要加强对城市基础设施配套费征收、使用和管理情况的监督检查，确保专款专用，并将征收、使用情况予以公开。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190" w:firstLine="608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条　征收单位要严格按规定的收费范围、标准、程序收取城市基础设施配套费，不得随意提高或降低收费标准、自立收费项目、扩大或缩小收费范围。违反本办法规定，擅自批准减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收、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收、缓收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城市基础设施配套费，或不经办理缴费手续擅自发放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《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建筑工程施工许可证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的，对相关责任人给予行政处分，构成犯罪的依法追究其刑事责任。</w:t>
      </w:r>
    </w:p>
    <w:p w:rsidR="00781DDD" w:rsidRDefault="0000218D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第十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条　本办法自发布之日起施行。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《温县人民政府办公室关于印发温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县城市基础设施配套费征收管理办法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》（温政办【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）同时废止，</w:t>
      </w:r>
      <w:r>
        <w:rPr>
          <w:rFonts w:ascii="仿宋" w:eastAsia="仿宋" w:hAnsi="仿宋" w:cs="仿宋" w:hint="eastAsia"/>
          <w:sz w:val="32"/>
          <w:szCs w:val="32"/>
        </w:rPr>
        <w:t>县政府及有关部门以前发布的其他相关规定，与本办法不一致的，以本办法为准。</w:t>
      </w:r>
    </w:p>
    <w:sectPr w:rsidR="00781DDD" w:rsidSect="00781DDD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8D" w:rsidRDefault="0000218D" w:rsidP="00781DDD">
      <w:r>
        <w:separator/>
      </w:r>
    </w:p>
  </w:endnote>
  <w:endnote w:type="continuationSeparator" w:id="0">
    <w:p w:rsidR="0000218D" w:rsidRDefault="0000218D" w:rsidP="0078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DD" w:rsidRDefault="00781DD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 filled="f" stroked="f" strokeweight=".5pt">
          <v:textbox style="mso-fit-shape-to-text:t" inset="0,0,0,0">
            <w:txbxContent>
              <w:p w:rsidR="00781DDD" w:rsidRDefault="00781DDD">
                <w:pPr>
                  <w:pStyle w:val="a3"/>
                </w:pPr>
                <w:r>
                  <w:fldChar w:fldCharType="begin"/>
                </w:r>
                <w:r w:rsidR="0000218D">
                  <w:instrText xml:space="preserve"> PAGE  \* MERGEFORMAT </w:instrText>
                </w:r>
                <w:r>
                  <w:fldChar w:fldCharType="separate"/>
                </w:r>
                <w:r w:rsidR="000530F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8D" w:rsidRDefault="0000218D" w:rsidP="00781DDD">
      <w:r>
        <w:separator/>
      </w:r>
    </w:p>
  </w:footnote>
  <w:footnote w:type="continuationSeparator" w:id="0">
    <w:p w:rsidR="0000218D" w:rsidRDefault="0000218D" w:rsidP="00781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1BF3C6"/>
    <w:multiLevelType w:val="singleLevel"/>
    <w:tmpl w:val="A51BF3C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E4NTZkNjQ1ZTQ4NDNjZjVlZThjNDdlZmFjNDNiNGYifQ=="/>
  </w:docVars>
  <w:rsids>
    <w:rsidRoot w:val="5D06422E"/>
    <w:rsid w:val="EBC70231"/>
    <w:rsid w:val="EDA6A102"/>
    <w:rsid w:val="EFFFBEC7"/>
    <w:rsid w:val="F48F3996"/>
    <w:rsid w:val="F9BFA13D"/>
    <w:rsid w:val="FABD2AE0"/>
    <w:rsid w:val="FDFF1E1B"/>
    <w:rsid w:val="FEF543FD"/>
    <w:rsid w:val="FFECDD48"/>
    <w:rsid w:val="0000218D"/>
    <w:rsid w:val="000530F3"/>
    <w:rsid w:val="00781DDD"/>
    <w:rsid w:val="019D2DEB"/>
    <w:rsid w:val="01B15ADF"/>
    <w:rsid w:val="064D237B"/>
    <w:rsid w:val="069E2438"/>
    <w:rsid w:val="09B12F07"/>
    <w:rsid w:val="0F73271F"/>
    <w:rsid w:val="0F900551"/>
    <w:rsid w:val="128D77AA"/>
    <w:rsid w:val="14004869"/>
    <w:rsid w:val="172E12D9"/>
    <w:rsid w:val="18FD04E4"/>
    <w:rsid w:val="1EFCF360"/>
    <w:rsid w:val="208C5799"/>
    <w:rsid w:val="286D6F78"/>
    <w:rsid w:val="2A657BF2"/>
    <w:rsid w:val="2DFFBD7F"/>
    <w:rsid w:val="39FA26DC"/>
    <w:rsid w:val="3FED381D"/>
    <w:rsid w:val="44BE2E8F"/>
    <w:rsid w:val="4DBD5A3B"/>
    <w:rsid w:val="4F211862"/>
    <w:rsid w:val="51EE1CDD"/>
    <w:rsid w:val="5C270262"/>
    <w:rsid w:val="5CF820FF"/>
    <w:rsid w:val="5D06422E"/>
    <w:rsid w:val="5D7A5DE8"/>
    <w:rsid w:val="5FFF4694"/>
    <w:rsid w:val="63064B86"/>
    <w:rsid w:val="63091970"/>
    <w:rsid w:val="66794A10"/>
    <w:rsid w:val="6DDA6771"/>
    <w:rsid w:val="71A3446C"/>
    <w:rsid w:val="731A4E85"/>
    <w:rsid w:val="777FE095"/>
    <w:rsid w:val="77FD8410"/>
    <w:rsid w:val="796849BB"/>
    <w:rsid w:val="7A77BCFE"/>
    <w:rsid w:val="7C330FAC"/>
    <w:rsid w:val="7CCDC69D"/>
    <w:rsid w:val="7D7D5371"/>
    <w:rsid w:val="7DBE55E5"/>
    <w:rsid w:val="7DF9A15F"/>
    <w:rsid w:val="7FAB4932"/>
    <w:rsid w:val="9F607D00"/>
    <w:rsid w:val="B6FF0426"/>
    <w:rsid w:val="C6BD9CF1"/>
    <w:rsid w:val="DBF59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D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81DD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D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81D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81DD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81DD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836</Words>
  <Characters>945</Characters>
  <Application>Microsoft Office Word</Application>
  <DocSecurity>0</DocSecurity>
  <Lines>47</Lines>
  <Paragraphs>32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</dc:creator>
  <cp:lastModifiedBy>Administrator</cp:lastModifiedBy>
  <cp:revision>2</cp:revision>
  <cp:lastPrinted>2023-08-24T17:43:00Z</cp:lastPrinted>
  <dcterms:created xsi:type="dcterms:W3CDTF">2023-08-08T00:04:00Z</dcterms:created>
  <dcterms:modified xsi:type="dcterms:W3CDTF">2025-07-10T01:03:00Z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BAFF9241A63347119BAFA6EEA92BD119_13</vt:lpwstr>
  </property>
</Properties>
</file>