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D3" w:rsidRDefault="00EC0ED3" w:rsidP="00EC0ED3">
      <w:pPr>
        <w:spacing w:line="560" w:lineRule="exact"/>
        <w:ind w:firstLineChars="0" w:firstLine="0"/>
        <w:jc w:val="both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EC0ED3" w:rsidRDefault="00EC0ED3" w:rsidP="00EC0ED3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部门任务分工一览表</w:t>
      </w:r>
    </w:p>
    <w:tbl>
      <w:tblPr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945"/>
        <w:gridCol w:w="615"/>
        <w:gridCol w:w="6645"/>
        <w:gridCol w:w="1725"/>
        <w:gridCol w:w="270"/>
        <w:gridCol w:w="239"/>
        <w:gridCol w:w="3388"/>
      </w:tblGrid>
      <w:tr w:rsidR="00EC0ED3" w:rsidTr="00FB2D4E">
        <w:trPr>
          <w:trHeight w:val="94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款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任务措施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牵头部门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参与部门</w:t>
            </w:r>
          </w:p>
        </w:tc>
      </w:tr>
      <w:tr w:rsidR="00EC0ED3" w:rsidTr="00FB2D4E">
        <w:tc>
          <w:tcPr>
            <w:tcW w:w="91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</w:t>
            </w:r>
          </w:p>
        </w:tc>
        <w:tc>
          <w:tcPr>
            <w:tcW w:w="61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开展土壤污染状况详查，</w:t>
            </w: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/>
                <w:sz w:val="28"/>
                <w:szCs w:val="28"/>
              </w:rPr>
              <w:t>年底前查明农用地土壤污染的面积、分布及其对农产品质量的影响；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年底前掌握重点行业企业用地中的污染地块分布及其环境风险情况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Merge w:val="restart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Merge w:val="restart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财政局、国土资源局、农业局、林业局、卫生计生委等</w:t>
            </w:r>
          </w:p>
        </w:tc>
      </w:tr>
      <w:tr w:rsidR="00EC0ED3" w:rsidTr="00FB2D4E">
        <w:trPr>
          <w:trHeight w:val="90"/>
        </w:trPr>
        <w:tc>
          <w:tcPr>
            <w:tcW w:w="9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制定详查总体方案和技术规定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C0ED3" w:rsidTr="00FB2D4E">
        <w:tc>
          <w:tcPr>
            <w:tcW w:w="9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全县建立土壤环境质量状况定期调查制度，每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年开展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次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C0ED3" w:rsidTr="00FB2D4E">
        <w:tc>
          <w:tcPr>
            <w:tcW w:w="91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</w:t>
            </w:r>
          </w:p>
        </w:tc>
        <w:tc>
          <w:tcPr>
            <w:tcW w:w="615" w:type="dxa"/>
            <w:vMerge w:val="restart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年底前，实现土壤环境质量监测点位全县覆盖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Merge w:val="restart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Merge w:val="restart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国土资源局、发展改革委、商工委、财政局等</w:t>
            </w:r>
          </w:p>
        </w:tc>
      </w:tr>
      <w:tr w:rsidR="00EC0ED3" w:rsidTr="00FB2D4E">
        <w:trPr>
          <w:trHeight w:val="90"/>
        </w:trPr>
        <w:tc>
          <w:tcPr>
            <w:tcW w:w="9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建立监测人员培训制度，每年至少开展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次全县土壤环境监测技术人员培训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vMerge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C0ED3" w:rsidTr="00FB2D4E">
        <w:trPr>
          <w:trHeight w:val="16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/>
                <w:sz w:val="28"/>
                <w:szCs w:val="28"/>
              </w:rPr>
              <w:t>年底前完成我县土壤环境信息化管理平台构建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发展改革委、教育局、科技局、商工委、国土资源局、住房城乡建设局、农业局、卫生计生委、林业局等</w:t>
            </w:r>
          </w:p>
        </w:tc>
      </w:tr>
      <w:tr w:rsidR="00EC0ED3" w:rsidTr="00FB2D4E">
        <w:trPr>
          <w:trHeight w:val="9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4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研究制定土壤污染防治、城乡规划、土地管理、农产品质量安全等管理办法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法制办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</w:p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商工委、国土资源局、住房城乡建设局、农业局、卫生计生委、林业局等</w:t>
            </w:r>
          </w:p>
        </w:tc>
      </w:tr>
      <w:tr w:rsidR="00EC0ED3" w:rsidTr="00FB2D4E">
        <w:trPr>
          <w:trHeight w:val="77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公布我县重点监管企业名单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商工委、国土资源局、住房城乡建设局、农业局等</w:t>
            </w:r>
          </w:p>
        </w:tc>
      </w:tr>
      <w:tr w:rsidR="00EC0ED3" w:rsidTr="00FB2D4E">
        <w:trPr>
          <w:trHeight w:val="123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改善基层环境执法条件，配备必要的土壤污染快速检测等执法装备。对全县环境执法人员每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年开展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轮土壤污染防治专业技术培训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商工委、公安局、国土资源局、住房城乡建设局、农业局等</w:t>
            </w:r>
          </w:p>
        </w:tc>
      </w:tr>
      <w:tr w:rsidR="00EC0ED3" w:rsidTr="00FB2D4E">
        <w:trPr>
          <w:trHeight w:val="81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年底前，完成土壤环境质量类别划定，逐步建立分类清单。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</w:p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环境保护局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国土资源局、林业局等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年底前，完成省市下达的轻度和中度污染耕地安全利用任务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72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</w:p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林业局</w:t>
            </w:r>
          </w:p>
        </w:tc>
        <w:tc>
          <w:tcPr>
            <w:tcW w:w="3897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国土资源局、环境保护局等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/>
                <w:sz w:val="28"/>
                <w:szCs w:val="28"/>
              </w:rPr>
              <w:t>年底前，完成全县受污染耕地安全利用专业化服务组织建设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农业局、林业局</w:t>
            </w:r>
            <w:r>
              <w:rPr>
                <w:rFonts w:eastAsia="仿宋_GB2312" w:hint="eastAsia"/>
                <w:sz w:val="28"/>
                <w:szCs w:val="28"/>
              </w:rPr>
              <w:t>负责</w:t>
            </w:r>
          </w:p>
        </w:tc>
      </w:tr>
      <w:tr w:rsidR="00EC0ED3" w:rsidTr="00FB2D4E">
        <w:trPr>
          <w:trHeight w:val="77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年底前，完成建立健全农产品质量安全检测体系，逐步提高检测能力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林业局、粮食局等</w:t>
            </w:r>
          </w:p>
        </w:tc>
      </w:tr>
      <w:tr w:rsidR="00EC0ED3" w:rsidTr="00FB2D4E">
        <w:trPr>
          <w:trHeight w:val="9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到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年，完成省市下达的重度污染耕地种植结构调整或退耕还林还草任务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农业局、林业局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国土资源局、财政局、环境保护局、发展改革委、水利局等</w:t>
            </w:r>
          </w:p>
        </w:tc>
      </w:tr>
      <w:tr w:rsidR="00EC0ED3" w:rsidTr="00FB2D4E">
        <w:trPr>
          <w:trHeight w:val="743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12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建立调查评估制度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国土资源局、住房城乡建设局等</w:t>
            </w:r>
          </w:p>
        </w:tc>
      </w:tr>
      <w:tr w:rsidR="00EC0ED3" w:rsidTr="00FB2D4E">
        <w:trPr>
          <w:trHeight w:val="76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分用途明确管理措施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环境保护局、住房城乡建设局、水利局等</w:t>
            </w:r>
          </w:p>
        </w:tc>
      </w:tr>
      <w:tr w:rsidR="00EC0ED3" w:rsidTr="00FB2D4E">
        <w:trPr>
          <w:trHeight w:val="84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建立规划、国土、环保等部门间的信息沟通机制，实行联动监管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住房城乡建设局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国土资源局、环境保护局等</w:t>
            </w:r>
          </w:p>
        </w:tc>
      </w:tr>
      <w:tr w:rsidR="00EC0ED3" w:rsidTr="00FB2D4E">
        <w:trPr>
          <w:trHeight w:val="141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将建设用地土壤环境管理要求纳入城市规划和供地管理，符合相应规划用地土壤环境质量要求的地块，方可进入用地程序。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环境保护局、住房城乡建设局等</w:t>
            </w:r>
          </w:p>
        </w:tc>
      </w:tr>
      <w:tr w:rsidR="00EC0ED3" w:rsidTr="00FB2D4E">
        <w:trPr>
          <w:trHeight w:val="90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（五）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加强重点生态功能区内未利用地的保护，严格控制开发强度。</w:t>
            </w:r>
          </w:p>
        </w:tc>
        <w:tc>
          <w:tcPr>
            <w:tcW w:w="1995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627" w:type="dxa"/>
            <w:gridSpan w:val="2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环境保护局、水利局、公安局、农业局、林业局等</w:t>
            </w:r>
          </w:p>
        </w:tc>
      </w:tr>
      <w:tr w:rsidR="00EC0ED3" w:rsidTr="00FB2D4E">
        <w:trPr>
          <w:trHeight w:val="717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（五）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重点行业企业要与政府部门签订土壤污染防治责任书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环境保护局负责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（五）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加强规划区划和建设项目布局论证，根据土壤等环境承载能力，合理确定区域功能定位、空间布局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商工委、发展改革委、农业局、林业局、畜牧局等</w:t>
            </w:r>
          </w:p>
        </w:tc>
      </w:tr>
      <w:tr w:rsidR="00EC0ED3" w:rsidTr="00FB2D4E">
        <w:trPr>
          <w:trHeight w:val="1001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（五）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根据划定的饮用水水源地保护区，严格限制区域内土地利用用途管制和开发利用强度。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环境保护局、水利局等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20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根据工矿企业分布和污染排放情况，确定土壤环境重点监管企业名单，实行动态更新，并向社会公布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环境保护局、商工委负责</w:t>
            </w:r>
          </w:p>
        </w:tc>
      </w:tr>
      <w:tr w:rsidR="00EC0ED3" w:rsidTr="00FB2D4E">
        <w:trPr>
          <w:trHeight w:val="165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矿产资源开发执行重点污染物特别排放限值。全面整治历史遗留尾矿库，完善覆膜、压土、排洪、堤坝加固等隐患治理和闭库措施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  <w:r>
              <w:rPr>
                <w:rFonts w:eastAsia="仿宋_GB2312" w:hint="eastAsia"/>
                <w:sz w:val="28"/>
                <w:szCs w:val="28"/>
              </w:rPr>
              <w:t>、安全监管局、</w:t>
            </w:r>
            <w:r>
              <w:rPr>
                <w:rFonts w:eastAsia="仿宋_GB2312"/>
                <w:sz w:val="28"/>
                <w:szCs w:val="28"/>
              </w:rPr>
              <w:t>国土资源局、商工委等</w:t>
            </w:r>
          </w:p>
        </w:tc>
      </w:tr>
      <w:tr w:rsidR="00EC0ED3" w:rsidTr="00FB2D4E">
        <w:trPr>
          <w:trHeight w:val="425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执行重金属行业准入条件，禁止新建落后产能或产能严重过剩行业的建设项目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发展改革委、环境保护局负责</w:t>
            </w:r>
          </w:p>
        </w:tc>
      </w:tr>
      <w:tr w:rsidR="00EC0ED3" w:rsidTr="00FB2D4E">
        <w:trPr>
          <w:trHeight w:val="1037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加强工业固体废物综合利用，对电子废物、废轮胎、废塑料等再生利用活动进行清理整顿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发展改革委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国土资源局、商工委等</w:t>
            </w:r>
          </w:p>
        </w:tc>
      </w:tr>
      <w:tr w:rsidR="00EC0ED3" w:rsidTr="00FB2D4E">
        <w:trPr>
          <w:trHeight w:val="1491"/>
        </w:trPr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到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年，全县蔬菜主产区要推广农药包装废弃物回收处理。主要农作物化肥、农药使用量实现零增长，利用率提高到</w:t>
            </w:r>
            <w:r>
              <w:rPr>
                <w:rFonts w:eastAsia="仿宋_GB2312"/>
                <w:sz w:val="28"/>
                <w:szCs w:val="28"/>
              </w:rPr>
              <w:t>40%</w:t>
            </w:r>
            <w:r>
              <w:rPr>
                <w:rFonts w:eastAsia="仿宋_GB2312"/>
                <w:sz w:val="28"/>
                <w:szCs w:val="28"/>
              </w:rPr>
              <w:t>以上，测土配方施肥技术推广覆盖率提高到</w:t>
            </w:r>
            <w:r>
              <w:rPr>
                <w:rFonts w:eastAsia="仿宋_GB2312"/>
                <w:sz w:val="28"/>
                <w:szCs w:val="28"/>
              </w:rPr>
              <w:t>90%</w:t>
            </w:r>
            <w:r>
              <w:rPr>
                <w:rFonts w:eastAsia="仿宋_GB2312"/>
                <w:sz w:val="28"/>
                <w:szCs w:val="28"/>
              </w:rPr>
              <w:t>以上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发展改革委、环境保护局、住房城乡建设局、供销社等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严厉打击违法生产和销售不合格农膜的行为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622" w:type="dxa"/>
            <w:gridSpan w:val="4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发展改革委、公安局、工商局、供销社等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到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年，规模化养殖场、养殖小区配套建设废弃物处理设施比例达到</w:t>
            </w:r>
            <w:r>
              <w:rPr>
                <w:rFonts w:eastAsia="仿宋_GB2312"/>
                <w:sz w:val="28"/>
                <w:szCs w:val="28"/>
              </w:rPr>
              <w:t>75%</w:t>
            </w:r>
            <w:r>
              <w:rPr>
                <w:rFonts w:eastAsia="仿宋_GB2312"/>
                <w:sz w:val="28"/>
                <w:szCs w:val="28"/>
              </w:rPr>
              <w:t>以上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畜牧局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发展改革委、环境保护局等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27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开展灌溉水水质监测，灌溉用水应符合农田灌溉水水质标准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（六）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扩大农村环境综合整治范围，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年前，实现全县全覆盖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住房城乡建设局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发展改革委、财政局、环境保护局等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（七）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开展土壤污染治理与修复试点，制定治理与修复规划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国土资源局、住房城乡建设局、农业局、财政局等</w:t>
            </w:r>
          </w:p>
        </w:tc>
      </w:tr>
      <w:tr w:rsidR="00EC0ED3" w:rsidTr="00FB2D4E">
        <w:tc>
          <w:tcPr>
            <w:tcW w:w="9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94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（七）</w:t>
            </w:r>
          </w:p>
        </w:tc>
        <w:tc>
          <w:tcPr>
            <w:tcW w:w="615" w:type="dxa"/>
            <w:vAlign w:val="center"/>
          </w:tcPr>
          <w:p w:rsidR="00EC0ED3" w:rsidRDefault="00EC0ED3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645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按照省市统一安排部署，有计划、分步骤地开展土壤污染治理与修复项目。到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年，受污染耕地治理与修复面积达到省</w:t>
            </w:r>
            <w:r>
              <w:rPr>
                <w:rFonts w:eastAsia="仿宋_GB2312" w:hint="eastAsia"/>
                <w:sz w:val="28"/>
                <w:szCs w:val="28"/>
              </w:rPr>
              <w:t>、市</w:t>
            </w:r>
            <w:r>
              <w:rPr>
                <w:rFonts w:eastAsia="仿宋_GB2312"/>
                <w:sz w:val="28"/>
                <w:szCs w:val="28"/>
              </w:rPr>
              <w:t>控要求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234" w:type="dxa"/>
            <w:gridSpan w:val="3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国土资源局</w:t>
            </w:r>
          </w:p>
        </w:tc>
        <w:tc>
          <w:tcPr>
            <w:tcW w:w="3388" w:type="dxa"/>
            <w:vAlign w:val="center"/>
          </w:tcPr>
          <w:p w:rsidR="00EC0ED3" w:rsidRDefault="00EC0ED3" w:rsidP="00FB2D4E">
            <w:pPr>
              <w:spacing w:line="40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环境保护局、农业局、住房城乡建设局、财政局等</w:t>
            </w:r>
          </w:p>
        </w:tc>
      </w:tr>
    </w:tbl>
    <w:p w:rsidR="00EC0ED3" w:rsidRDefault="00EC0ED3" w:rsidP="00EC0ED3">
      <w:pPr>
        <w:spacing w:line="560" w:lineRule="exact"/>
        <w:ind w:firstLineChars="0" w:firstLine="0"/>
        <w:jc w:val="both"/>
        <w:sectPr w:rsidR="00EC0ED3">
          <w:footerReference w:type="even" r:id="rId6"/>
          <w:footerReference w:type="default" r:id="rId7"/>
          <w:pgSz w:w="16838" w:h="11906" w:orient="landscape"/>
          <w:pgMar w:top="2098" w:right="1474" w:bottom="1984" w:left="1587" w:header="851" w:footer="1729" w:gutter="0"/>
          <w:cols w:space="720"/>
          <w:docGrid w:type="lines" w:linePitch="312"/>
        </w:sectPr>
      </w:pPr>
    </w:p>
    <w:p w:rsidR="00956638" w:rsidRPr="00EC0ED3" w:rsidRDefault="00956638" w:rsidP="00EC0ED3">
      <w:pPr>
        <w:ind w:firstLineChars="0" w:firstLine="0"/>
      </w:pPr>
    </w:p>
    <w:sectPr w:rsidR="00956638" w:rsidRPr="00EC0ED3" w:rsidSect="00647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20" w:rsidRDefault="00950F20" w:rsidP="00647A20">
      <w:pPr>
        <w:ind w:firstLine="420"/>
      </w:pPr>
      <w:r>
        <w:separator/>
      </w:r>
    </w:p>
  </w:endnote>
  <w:endnote w:type="continuationSeparator" w:id="0">
    <w:p w:rsidR="00950F20" w:rsidRDefault="00950F20" w:rsidP="00647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D3" w:rsidRDefault="00EC0ED3" w:rsidP="00C855C6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1026" type="#_x0000_t202" style="position:absolute;left:0;text-align:left;margin-left:0;margin-top:0;width:2in;height:2in;z-index:251661312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EC0ED3" w:rsidRDefault="00EC0ED3">
                <w:pPr>
                  <w:pStyle w:val="a4"/>
                  <w:ind w:leftChars="200" w:left="420" w:rightChars="200" w:right="420"/>
                  <w:jc w:val="both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D3" w:rsidRDefault="00EC0ED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1025" type="#_x0000_t202" style="position:absolute;margin-left:0;margin-top:0;width:2in;height:2in;z-index:251660288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EC0ED3" w:rsidRDefault="00EC0ED3">
                <w:pPr>
                  <w:pStyle w:val="a4"/>
                  <w:ind w:leftChars="200" w:left="420" w:rightChars="200" w:right="420"/>
                  <w:jc w:val="both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EC0ED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20" w:rsidRDefault="00950F20" w:rsidP="00647A20">
      <w:pPr>
        <w:ind w:firstLine="420"/>
      </w:pPr>
      <w:r>
        <w:separator/>
      </w:r>
    </w:p>
  </w:footnote>
  <w:footnote w:type="continuationSeparator" w:id="0">
    <w:p w:rsidR="00950F20" w:rsidRDefault="00950F20" w:rsidP="00647A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20"/>
    <w:rsid w:val="002911E0"/>
    <w:rsid w:val="002A6CD9"/>
    <w:rsid w:val="002C17E5"/>
    <w:rsid w:val="005B4EFA"/>
    <w:rsid w:val="00647A20"/>
    <w:rsid w:val="007A3920"/>
    <w:rsid w:val="00950F20"/>
    <w:rsid w:val="00956638"/>
    <w:rsid w:val="00993FE9"/>
    <w:rsid w:val="00A11B2E"/>
    <w:rsid w:val="00B85859"/>
    <w:rsid w:val="00D637F9"/>
    <w:rsid w:val="00E060B3"/>
    <w:rsid w:val="00E526C8"/>
    <w:rsid w:val="00E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0"/>
    <w:pPr>
      <w:widowControl w:val="0"/>
      <w:ind w:firstLineChars="200" w:firstLine="21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A20"/>
    <w:rPr>
      <w:sz w:val="18"/>
      <w:szCs w:val="18"/>
    </w:rPr>
  </w:style>
  <w:style w:type="paragraph" w:styleId="a4">
    <w:name w:val="footer"/>
    <w:basedOn w:val="a"/>
    <w:link w:val="Char0"/>
    <w:unhideWhenUsed/>
    <w:rsid w:val="00647A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2018-06-08T01:59:00Z</dcterms:created>
  <dcterms:modified xsi:type="dcterms:W3CDTF">2018-06-08T02:10:00Z</dcterms:modified>
</cp:coreProperties>
</file>