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color w:val="auto"/>
          <w:spacing w:val="0"/>
          <w:kern w:val="2"/>
          <w:sz w:val="44"/>
          <w:szCs w:val="44"/>
          <w:lang w:val="en-US" w:eastAsia="zh-CN" w:bidi="ar-SA"/>
        </w:rPr>
      </w:pPr>
      <w:bookmarkStart w:id="0" w:name="_GoBack"/>
      <w:r>
        <w:rPr>
          <w:rFonts w:hint="eastAsia" w:ascii="方正小标宋简体" w:hAnsi="方正小标宋简体" w:eastAsia="方正小标宋简体" w:cs="方正小标宋简体"/>
          <w:color w:val="auto"/>
          <w:spacing w:val="0"/>
          <w:kern w:val="2"/>
          <w:sz w:val="44"/>
          <w:szCs w:val="44"/>
          <w:lang w:val="en-US" w:eastAsia="zh-CN" w:bidi="ar-SA"/>
        </w:rPr>
        <w:t>关于进一步促进我县房地产市场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color w:val="auto"/>
          <w:spacing w:val="0"/>
          <w:kern w:val="2"/>
          <w:sz w:val="44"/>
          <w:szCs w:val="44"/>
          <w:lang w:val="en-US" w:eastAsia="zh-CN" w:bidi="ar-SA"/>
        </w:rPr>
      </w:pPr>
      <w:r>
        <w:rPr>
          <w:rFonts w:hint="eastAsia" w:ascii="方正小标宋简体" w:hAnsi="方正小标宋简体" w:eastAsia="方正小标宋简体" w:cs="方正小标宋简体"/>
          <w:color w:val="auto"/>
          <w:spacing w:val="0"/>
          <w:kern w:val="2"/>
          <w:sz w:val="44"/>
          <w:szCs w:val="44"/>
          <w:lang w:val="en-US" w:eastAsia="zh-CN" w:bidi="ar-SA"/>
        </w:rPr>
        <w:t>平稳健康发展的若干意见（试行）</w:t>
      </w:r>
    </w:p>
    <w:bookmarkEnd w:id="0"/>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color w:val="auto"/>
          <w:spacing w:val="0"/>
          <w:kern w:val="2"/>
          <w:sz w:val="44"/>
          <w:szCs w:val="44"/>
          <w:lang w:val="en-US" w:eastAsia="zh-CN" w:bidi="ar-SA"/>
        </w:rPr>
      </w:pPr>
    </w:p>
    <w:p>
      <w:pPr>
        <w:keepNext w:val="0"/>
        <w:keepLines w:val="0"/>
        <w:pageBreakBefore w:val="0"/>
        <w:widowControl/>
        <w:suppressLineNumbers w:val="0"/>
        <w:kinsoku/>
        <w:wordWrap/>
        <w:overflowPunct/>
        <w:topLinePunct w:val="0"/>
        <w:bidi w:val="0"/>
        <w:snapToGrid/>
        <w:spacing w:line="520" w:lineRule="exact"/>
        <w:ind w:firstLine="0" w:firstLineChars="0"/>
        <w:jc w:val="both"/>
        <w:textAlignment w:val="auto"/>
        <w:rPr>
          <w:rFonts w:hint="eastAsia" w:ascii="仿宋" w:hAnsi="仿宋" w:eastAsia="仿宋" w:cs="仿宋"/>
          <w:b w:val="0"/>
          <w:bCs w:val="0"/>
          <w:color w:val="auto"/>
          <w:spacing w:val="0"/>
          <w:kern w:val="2"/>
          <w:sz w:val="28"/>
          <w:szCs w:val="28"/>
          <w:lang w:val="en-US" w:eastAsia="zh-CN" w:bidi="ar-SA"/>
        </w:rPr>
      </w:pPr>
      <w:r>
        <w:rPr>
          <w:rFonts w:hint="eastAsia" w:ascii="仿宋" w:hAnsi="仿宋" w:eastAsia="仿宋" w:cs="仿宋"/>
          <w:b w:val="0"/>
          <w:bCs w:val="0"/>
          <w:color w:val="auto"/>
          <w:spacing w:val="0"/>
          <w:kern w:val="2"/>
          <w:sz w:val="28"/>
          <w:szCs w:val="28"/>
          <w:lang w:val="en-US" w:eastAsia="zh-CN" w:bidi="ar-SA"/>
        </w:rPr>
        <w:t>各乡（镇）人民政府、县政府各部门、各有关单位：</w:t>
      </w:r>
    </w:p>
    <w:p>
      <w:pPr>
        <w:pStyle w:val="7"/>
        <w:keepNext w:val="0"/>
        <w:keepLines w:val="0"/>
        <w:pageBreakBefore w:val="0"/>
        <w:kinsoku/>
        <w:wordWrap/>
        <w:overflowPunct/>
        <w:topLinePunct w:val="0"/>
        <w:bidi w:val="0"/>
        <w:snapToGrid/>
        <w:spacing w:before="0" w:beforeAutospacing="0" w:after="0" w:afterAutospacing="0" w:line="520" w:lineRule="exact"/>
        <w:ind w:firstLine="560" w:firstLineChars="200"/>
        <w:jc w:val="both"/>
        <w:textAlignment w:val="auto"/>
        <w:rPr>
          <w:rFonts w:hint="eastAsia" w:ascii="仿宋" w:hAnsi="仿宋" w:eastAsia="仿宋" w:cs="仿宋"/>
          <w:b w:val="0"/>
          <w:bCs w:val="0"/>
          <w:color w:val="auto"/>
          <w:spacing w:val="0"/>
          <w:kern w:val="2"/>
          <w:sz w:val="28"/>
          <w:szCs w:val="28"/>
          <w:lang w:val="en-US" w:eastAsia="zh-CN" w:bidi="ar-SA"/>
        </w:rPr>
      </w:pPr>
      <w:r>
        <w:rPr>
          <w:rFonts w:hint="eastAsia" w:ascii="仿宋" w:hAnsi="仿宋" w:eastAsia="仿宋" w:cs="仿宋"/>
          <w:b w:val="0"/>
          <w:bCs w:val="0"/>
          <w:color w:val="auto"/>
          <w:spacing w:val="0"/>
          <w:kern w:val="2"/>
          <w:sz w:val="28"/>
          <w:szCs w:val="28"/>
          <w:lang w:val="en-US" w:eastAsia="zh-CN" w:bidi="ar-SA"/>
        </w:rPr>
        <w:t>为认真贯彻落实党中央、国务院和省委、省政府决策部署，坚持“房住不炒”定位，切实满足人民群众合理住房需求，实现“稳地价、稳房价、稳预期”目标，促进房地产市场平稳健康发展，现结合我县实际提出如下意见：</w:t>
      </w:r>
    </w:p>
    <w:p>
      <w:pPr>
        <w:keepNext w:val="0"/>
        <w:keepLines w:val="0"/>
        <w:pageBreakBefore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lang w:eastAsia="zh-CN"/>
        </w:rPr>
        <w:t>一、促进住房消费</w:t>
      </w:r>
    </w:p>
    <w:p>
      <w:pPr>
        <w:pStyle w:val="7"/>
        <w:keepNext w:val="0"/>
        <w:keepLines w:val="0"/>
        <w:pageBreakBefore w:val="0"/>
        <w:kinsoku/>
        <w:wordWrap/>
        <w:overflowPunct/>
        <w:topLinePunct w:val="0"/>
        <w:bidi w:val="0"/>
        <w:snapToGrid/>
        <w:spacing w:before="0" w:beforeAutospacing="0" w:after="0" w:afterAutospacing="0" w:line="520" w:lineRule="exact"/>
        <w:ind w:firstLine="560" w:firstLineChars="200"/>
        <w:jc w:val="both"/>
        <w:textAlignment w:val="auto"/>
        <w:rPr>
          <w:rFonts w:hint="eastAsia" w:ascii="仿宋" w:hAnsi="仿宋" w:eastAsia="仿宋" w:cs="仿宋"/>
          <w:b w:val="0"/>
          <w:bCs w:val="0"/>
          <w:color w:val="auto"/>
          <w:spacing w:val="0"/>
          <w:kern w:val="2"/>
          <w:sz w:val="28"/>
          <w:szCs w:val="28"/>
          <w:highlight w:val="none"/>
          <w:lang w:val="en-US" w:eastAsia="zh-CN" w:bidi="ar-SA"/>
        </w:rPr>
      </w:pPr>
      <w:r>
        <w:rPr>
          <w:rFonts w:hint="eastAsia" w:ascii="楷体_GB2312" w:hAnsi="楷体_GB2312" w:eastAsia="楷体_GB2312" w:cs="楷体_GB2312"/>
          <w:color w:val="auto"/>
          <w:spacing w:val="0"/>
          <w:sz w:val="28"/>
          <w:szCs w:val="28"/>
          <w:highlight w:val="none"/>
        </w:rPr>
        <w:t>（一）</w:t>
      </w:r>
      <w:r>
        <w:rPr>
          <w:rFonts w:hint="eastAsia" w:ascii="楷体_GB2312" w:hAnsi="楷体_GB2312" w:eastAsia="楷体_GB2312" w:cs="楷体_GB2312"/>
          <w:color w:val="auto"/>
          <w:spacing w:val="0"/>
          <w:kern w:val="2"/>
          <w:sz w:val="28"/>
          <w:szCs w:val="28"/>
          <w:highlight w:val="none"/>
          <w:lang w:val="en-US" w:eastAsia="zh-CN" w:bidi="ar-SA"/>
        </w:rPr>
        <w:t>支持高校毕业生在修购房。</w:t>
      </w:r>
      <w:r>
        <w:rPr>
          <w:rFonts w:hint="eastAsia" w:ascii="仿宋" w:hAnsi="仿宋" w:eastAsia="仿宋" w:cs="仿宋"/>
          <w:b w:val="0"/>
          <w:bCs w:val="0"/>
          <w:color w:val="auto"/>
          <w:spacing w:val="0"/>
          <w:kern w:val="2"/>
          <w:sz w:val="28"/>
          <w:szCs w:val="28"/>
          <w:highlight w:val="none"/>
          <w:lang w:val="en-US" w:eastAsia="zh-CN" w:bidi="ar-SA"/>
        </w:rPr>
        <w:t>对已在我县建立公积金账户并实际缴存的应届高校毕业生，办理县辖区内首套商品住房公积金贷款时，在首付款不低于总房款30％的情况下，借款人连续正常足额缴存6个月以上的，可享受个人公积金账户余额20倍的最高贷款额度。</w:t>
      </w:r>
    </w:p>
    <w:p>
      <w:pPr>
        <w:pStyle w:val="7"/>
        <w:keepNext w:val="0"/>
        <w:keepLines w:val="0"/>
        <w:pageBreakBefore w:val="0"/>
        <w:kinsoku/>
        <w:wordWrap/>
        <w:overflowPunct/>
        <w:topLinePunct w:val="0"/>
        <w:bidi w:val="0"/>
        <w:snapToGrid/>
        <w:spacing w:before="0" w:beforeAutospacing="0" w:after="0" w:afterAutospacing="0" w:line="520" w:lineRule="exact"/>
        <w:ind w:firstLine="560" w:firstLineChars="200"/>
        <w:jc w:val="both"/>
        <w:textAlignment w:val="auto"/>
        <w:rPr>
          <w:rFonts w:hint="default" w:ascii="Times New Roman" w:hAnsi="Times New Roman" w:eastAsia="仿宋_GB2312" w:cs="Times New Roman"/>
          <w:b w:val="0"/>
          <w:bCs w:val="0"/>
          <w:color w:val="auto"/>
          <w:spacing w:val="0"/>
          <w:kern w:val="2"/>
          <w:sz w:val="28"/>
          <w:szCs w:val="28"/>
          <w:highlight w:val="none"/>
          <w:lang w:val="en-US" w:eastAsia="zh-CN" w:bidi="ar-SA"/>
        </w:rPr>
      </w:pPr>
      <w:r>
        <w:rPr>
          <w:rFonts w:hint="default" w:ascii="楷体_GB2312" w:hAnsi="楷体_GB2312" w:eastAsia="楷体_GB2312" w:cs="楷体_GB2312"/>
          <w:color w:val="auto"/>
          <w:spacing w:val="0"/>
          <w:sz w:val="28"/>
          <w:szCs w:val="28"/>
          <w:highlight w:val="none"/>
        </w:rPr>
        <w:t>（</w:t>
      </w:r>
      <w:r>
        <w:rPr>
          <w:rFonts w:hint="default" w:ascii="楷体_GB2312" w:hAnsi="楷体_GB2312" w:eastAsia="楷体_GB2312" w:cs="楷体_GB2312"/>
          <w:color w:val="auto"/>
          <w:spacing w:val="0"/>
          <w:sz w:val="28"/>
          <w:szCs w:val="28"/>
          <w:highlight w:val="none"/>
          <w:lang w:eastAsia="zh-CN"/>
        </w:rPr>
        <w:t>二</w:t>
      </w:r>
      <w:r>
        <w:rPr>
          <w:rFonts w:hint="default" w:ascii="楷体_GB2312" w:hAnsi="楷体_GB2312" w:eastAsia="楷体_GB2312" w:cs="楷体_GB2312"/>
          <w:color w:val="auto"/>
          <w:spacing w:val="0"/>
          <w:sz w:val="28"/>
          <w:szCs w:val="28"/>
          <w:highlight w:val="none"/>
        </w:rPr>
        <w:t>）</w:t>
      </w:r>
      <w:r>
        <w:rPr>
          <w:rFonts w:hint="default" w:ascii="楷体_GB2312" w:hAnsi="楷体_GB2312" w:eastAsia="楷体_GB2312" w:cs="楷体_GB2312"/>
          <w:color w:val="auto"/>
          <w:spacing w:val="0"/>
          <w:sz w:val="28"/>
          <w:szCs w:val="28"/>
          <w:highlight w:val="none"/>
          <w:lang w:eastAsia="zh-CN"/>
        </w:rPr>
        <w:t>支持拆迁安置群众购买商品住房</w:t>
      </w:r>
      <w:r>
        <w:rPr>
          <w:rFonts w:hint="default" w:ascii="楷体_GB2312" w:hAnsi="楷体_GB2312" w:eastAsia="楷体_GB2312" w:cs="楷体_GB2312"/>
          <w:color w:val="auto"/>
          <w:spacing w:val="0"/>
          <w:sz w:val="28"/>
          <w:szCs w:val="28"/>
          <w:highlight w:val="none"/>
        </w:rPr>
        <w:t>。</w:t>
      </w:r>
      <w:r>
        <w:rPr>
          <w:rFonts w:hint="eastAsia" w:ascii="仿宋" w:hAnsi="仿宋" w:eastAsia="仿宋" w:cs="仿宋"/>
          <w:b w:val="0"/>
          <w:bCs w:val="0"/>
          <w:color w:val="auto"/>
          <w:spacing w:val="0"/>
          <w:kern w:val="2"/>
          <w:sz w:val="28"/>
          <w:szCs w:val="28"/>
          <w:highlight w:val="none"/>
          <w:lang w:val="en-US" w:eastAsia="zh-CN" w:bidi="ar-SA"/>
        </w:rPr>
        <w:t>鼓励居民在棚户区改造、城中村</w:t>
      </w:r>
      <w:r>
        <w:rPr>
          <w:rFonts w:hint="eastAsia" w:ascii="仿宋" w:hAnsi="仿宋" w:eastAsia="仿宋" w:cs="仿宋"/>
          <w:b w:val="0"/>
          <w:bCs w:val="0"/>
          <w:color w:val="auto"/>
          <w:spacing w:val="0"/>
          <w:kern w:val="2"/>
          <w:sz w:val="28"/>
          <w:szCs w:val="28"/>
          <w:highlight w:val="none"/>
          <w:u w:val="none"/>
          <w:lang w:val="en-US" w:eastAsia="zh-CN" w:bidi="ar-SA"/>
        </w:rPr>
        <w:t>改造及城市基础设施建设过程中</w:t>
      </w:r>
      <w:r>
        <w:rPr>
          <w:rFonts w:hint="eastAsia" w:ascii="仿宋" w:hAnsi="仿宋" w:eastAsia="仿宋" w:cs="仿宋"/>
          <w:b w:val="0"/>
          <w:bCs w:val="0"/>
          <w:color w:val="auto"/>
          <w:spacing w:val="0"/>
          <w:kern w:val="2"/>
          <w:sz w:val="28"/>
          <w:szCs w:val="28"/>
          <w:highlight w:val="none"/>
          <w:lang w:val="en-US" w:eastAsia="zh-CN" w:bidi="ar-SA"/>
        </w:rPr>
        <w:t>选用货币化安置方式，扩大安置群众购房选择范围，逐步满足安置群众多层次购买商品房需求</w:t>
      </w:r>
      <w:r>
        <w:rPr>
          <w:rFonts w:hint="default" w:ascii="Times New Roman" w:hAnsi="Times New Roman" w:eastAsia="仿宋_GB2312" w:cs="Times New Roman"/>
          <w:b w:val="0"/>
          <w:bCs w:val="0"/>
          <w:color w:val="auto"/>
          <w:spacing w:val="0"/>
          <w:kern w:val="2"/>
          <w:sz w:val="28"/>
          <w:szCs w:val="28"/>
          <w:highlight w:val="none"/>
          <w:lang w:val="en-US" w:eastAsia="zh-CN" w:bidi="ar-SA"/>
        </w:rPr>
        <w:t>。</w:t>
      </w:r>
    </w:p>
    <w:p>
      <w:pPr>
        <w:keepNext w:val="0"/>
        <w:keepLines w:val="0"/>
        <w:pageBreakBefore w:val="0"/>
        <w:widowControl/>
        <w:suppressLineNumbers w:val="0"/>
        <w:kinsoku/>
        <w:wordWrap/>
        <w:overflowPunct/>
        <w:topLinePunct w:val="0"/>
        <w:bidi w:val="0"/>
        <w:snapToGrid/>
        <w:spacing w:line="520" w:lineRule="exact"/>
        <w:ind w:firstLine="560" w:firstLineChars="200"/>
        <w:jc w:val="both"/>
        <w:textAlignment w:val="auto"/>
        <w:rPr>
          <w:rFonts w:hint="eastAsia" w:ascii="仿宋" w:hAnsi="仿宋" w:eastAsia="仿宋" w:cs="仿宋"/>
          <w:b w:val="0"/>
          <w:bCs w:val="0"/>
          <w:color w:val="auto"/>
          <w:spacing w:val="0"/>
          <w:kern w:val="2"/>
          <w:sz w:val="28"/>
          <w:szCs w:val="28"/>
          <w:highlight w:val="none"/>
          <w:lang w:val="en-US" w:eastAsia="zh-CN" w:bidi="ar-SA"/>
        </w:rPr>
      </w:pPr>
      <w:r>
        <w:rPr>
          <w:rFonts w:hint="default" w:ascii="楷体_GB2312" w:hAnsi="楷体_GB2312" w:eastAsia="楷体_GB2312" w:cs="楷体_GB2312"/>
          <w:color w:val="auto"/>
          <w:spacing w:val="0"/>
          <w:kern w:val="0"/>
          <w:sz w:val="28"/>
          <w:szCs w:val="28"/>
          <w:highlight w:val="none"/>
          <w:lang w:val="en-US" w:eastAsia="zh-CN" w:bidi="ar-SA"/>
        </w:rPr>
        <w:t>（三）提供购房契税补贴。</w:t>
      </w:r>
      <w:r>
        <w:rPr>
          <w:rFonts w:hint="eastAsia" w:ascii="仿宋" w:hAnsi="仿宋" w:eastAsia="仿宋" w:cs="仿宋"/>
          <w:b w:val="0"/>
          <w:bCs w:val="0"/>
          <w:color w:val="auto"/>
          <w:spacing w:val="0"/>
          <w:kern w:val="2"/>
          <w:sz w:val="28"/>
          <w:szCs w:val="28"/>
          <w:highlight w:val="none"/>
          <w:lang w:val="en-US" w:eastAsia="zh-CN" w:bidi="ar-SA"/>
        </w:rPr>
        <w:t>2022年1月1日至12月31日期间，凡在修武县辖区购买已取得商品房预售许可证的新建商品住房，网签且足额缴纳契税后，可享受契税总额50%的补贴；在修武县辖区购买已取得商品房预售许可证的新建商业用房，网签且足额缴纳契税后，可享受契税总额30%的补贴。2022年1月1日之前购买新建商品房，尚未缴纳契税的，在2022年12月31日之前缴纳契税，可享受契税总额15%的补贴。契税补贴办理时间截止到2023年6月30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pacing w:val="0"/>
          <w:kern w:val="2"/>
          <w:sz w:val="28"/>
          <w:szCs w:val="28"/>
          <w:highlight w:val="none"/>
          <w:lang w:val="en-US" w:eastAsia="zh-CN" w:bidi="ar-SA"/>
        </w:rPr>
      </w:pPr>
      <w:r>
        <w:rPr>
          <w:rFonts w:hint="default" w:ascii="楷体_GB2312" w:hAnsi="楷体_GB2312" w:eastAsia="楷体_GB2312" w:cs="楷体_GB2312"/>
          <w:color w:val="auto"/>
          <w:spacing w:val="0"/>
          <w:kern w:val="0"/>
          <w:sz w:val="28"/>
          <w:szCs w:val="28"/>
          <w:highlight w:val="none"/>
          <w:lang w:val="en-US" w:eastAsia="zh-CN" w:bidi="ar-SA"/>
        </w:rPr>
        <w:t>（四）降低存量房交易成本。</w:t>
      </w:r>
      <w:r>
        <w:rPr>
          <w:rFonts w:hint="eastAsia" w:ascii="仿宋" w:hAnsi="仿宋" w:eastAsia="仿宋" w:cs="仿宋"/>
          <w:b w:val="0"/>
          <w:bCs w:val="0"/>
          <w:color w:val="auto"/>
          <w:spacing w:val="0"/>
          <w:kern w:val="2"/>
          <w:sz w:val="28"/>
          <w:szCs w:val="28"/>
          <w:highlight w:val="none"/>
          <w:lang w:val="en-US" w:eastAsia="zh-CN" w:bidi="ar-SA"/>
        </w:rPr>
        <w:t>税务部门对个人转让住房，以转让财产的收入额减除财产原值和合理费用后的余额为应纳税所得额，适用20%的税率差额征收；未提供完整、准确的房屋原值凭证（是指纳税人不能提供房屋购买合同、发票等凭证，或房管、不动产和契税征管档案中没有上次交易价格记录的），不能正确计算房屋原值和应纳税额的，可按住房转让收入1%核定征收个人所得税，促进新建商品房、二手房消费联动，支持居民改善型住房消费需求。</w:t>
      </w:r>
    </w:p>
    <w:p>
      <w:pPr>
        <w:keepNext w:val="0"/>
        <w:keepLines w:val="0"/>
        <w:pageBreakBefore w:val="0"/>
        <w:kinsoku/>
        <w:wordWrap/>
        <w:overflowPunct/>
        <w:topLinePunct w:val="0"/>
        <w:bidi w:val="0"/>
        <w:snapToGrid/>
        <w:spacing w:line="520" w:lineRule="exact"/>
        <w:ind w:firstLine="560" w:firstLineChars="200"/>
        <w:textAlignment w:val="auto"/>
        <w:rPr>
          <w:sz w:val="28"/>
          <w:szCs w:val="28"/>
        </w:rPr>
      </w:pPr>
      <w:r>
        <w:rPr>
          <w:rFonts w:hint="default" w:ascii="黑体" w:hAnsi="黑体" w:eastAsia="黑体" w:cs="黑体"/>
          <w:sz w:val="28"/>
          <w:szCs w:val="28"/>
          <w:highlight w:val="none"/>
          <w:lang w:val="en-US" w:eastAsia="zh-CN"/>
        </w:rPr>
        <w:t>二、稳定住房供给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pacing w:val="0"/>
          <w:kern w:val="2"/>
          <w:sz w:val="28"/>
          <w:szCs w:val="28"/>
          <w:highlight w:val="none"/>
          <w:lang w:val="en-US" w:eastAsia="zh-CN" w:bidi="ar-SA"/>
        </w:rPr>
      </w:pPr>
      <w:r>
        <w:rPr>
          <w:rFonts w:hint="eastAsia" w:ascii="楷体_GB2312" w:hAnsi="楷体_GB2312" w:eastAsia="楷体_GB2312" w:cs="楷体_GB2312"/>
          <w:color w:val="auto"/>
          <w:spacing w:val="0"/>
          <w:kern w:val="0"/>
          <w:sz w:val="28"/>
          <w:szCs w:val="28"/>
          <w:highlight w:val="none"/>
          <w:lang w:val="en-US" w:eastAsia="zh-CN" w:bidi="ar-SA"/>
        </w:rPr>
        <w:t>（五）把握住宅用地供应节奏。</w:t>
      </w:r>
      <w:r>
        <w:rPr>
          <w:rFonts w:hint="eastAsia" w:ascii="仿宋" w:hAnsi="仿宋" w:eastAsia="仿宋" w:cs="仿宋"/>
          <w:b w:val="0"/>
          <w:bCs w:val="0"/>
          <w:color w:val="auto"/>
          <w:spacing w:val="0"/>
          <w:kern w:val="2"/>
          <w:sz w:val="28"/>
          <w:szCs w:val="28"/>
          <w:highlight w:val="none"/>
          <w:lang w:val="en-US" w:eastAsia="zh-CN" w:bidi="ar-SA"/>
        </w:rPr>
        <w:t>依据商品住宅去化周期情况，合理确定新增住宅用地供应量，确保商品住宅供需平衡。土地竞拍保证金比例按起拍价的20％确定，土地出让金按规定可在成交后1年内实行分期缴纳。对受灾情、疫情影响以及确因政府原因导致企业未按时缴纳土地出让金的，企业申请延期并报县政府研究同意后，可重新约定出让金缴纳期限，延长期内不再收取违约金。</w:t>
      </w:r>
      <w:r>
        <w:rPr>
          <w:rFonts w:hint="eastAsia" w:ascii="仿宋" w:hAnsi="仿宋" w:eastAsia="仿宋" w:cs="仿宋"/>
          <w:color w:val="auto"/>
          <w:sz w:val="28"/>
          <w:szCs w:val="28"/>
        </w:rPr>
        <w:t>土地挂牌时，可附带修建性详细规划方案。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b w:val="0"/>
          <w:bCs w:val="0"/>
          <w:color w:val="auto"/>
          <w:spacing w:val="0"/>
          <w:kern w:val="2"/>
          <w:sz w:val="28"/>
          <w:szCs w:val="28"/>
          <w:highlight w:val="none"/>
          <w:lang w:val="en-US" w:eastAsia="zh-CN" w:bidi="ar-SA"/>
        </w:rPr>
      </w:pPr>
      <w:r>
        <w:rPr>
          <w:rFonts w:hint="default" w:ascii="楷体_GB2312" w:hAnsi="楷体_GB2312" w:eastAsia="楷体_GB2312" w:cs="楷体_GB2312"/>
          <w:color w:val="auto"/>
          <w:spacing w:val="0"/>
          <w:kern w:val="0"/>
          <w:sz w:val="28"/>
          <w:szCs w:val="28"/>
          <w:highlight w:val="none"/>
          <w:lang w:val="en-US" w:eastAsia="zh-CN" w:bidi="ar-SA"/>
        </w:rPr>
        <w:t>（</w:t>
      </w:r>
      <w:r>
        <w:rPr>
          <w:rFonts w:hint="eastAsia" w:ascii="楷体_GB2312" w:hAnsi="楷体_GB2312" w:eastAsia="楷体_GB2312" w:cs="楷体_GB2312"/>
          <w:color w:val="auto"/>
          <w:spacing w:val="0"/>
          <w:kern w:val="0"/>
          <w:sz w:val="28"/>
          <w:szCs w:val="28"/>
          <w:highlight w:val="none"/>
          <w:lang w:val="en-US" w:eastAsia="zh-CN" w:bidi="ar-SA"/>
        </w:rPr>
        <w:t>六</w:t>
      </w:r>
      <w:r>
        <w:rPr>
          <w:rFonts w:hint="default" w:ascii="楷体_GB2312" w:hAnsi="楷体_GB2312" w:eastAsia="楷体_GB2312" w:cs="楷体_GB2312"/>
          <w:color w:val="auto"/>
          <w:spacing w:val="0"/>
          <w:kern w:val="0"/>
          <w:sz w:val="28"/>
          <w:szCs w:val="28"/>
          <w:highlight w:val="none"/>
          <w:lang w:val="en-US" w:eastAsia="zh-CN" w:bidi="ar-SA"/>
        </w:rPr>
        <w:t>）严格落实商品房预售制度。</w:t>
      </w:r>
      <w:r>
        <w:rPr>
          <w:rFonts w:hint="eastAsia" w:ascii="仿宋" w:hAnsi="仿宋" w:eastAsia="仿宋" w:cs="仿宋"/>
          <w:b w:val="0"/>
          <w:bCs w:val="0"/>
          <w:color w:val="auto"/>
          <w:spacing w:val="0"/>
          <w:kern w:val="2"/>
          <w:sz w:val="28"/>
          <w:szCs w:val="28"/>
          <w:highlight w:val="none"/>
          <w:lang w:val="en-US" w:eastAsia="zh-CN" w:bidi="ar-SA"/>
        </w:rPr>
        <w:t>商品房预售许可条件中“投入开发建设的资金达到工程建设总投资的25%以上，并已确定施工进度和竣工交付日期”界定为：低层和多层（即六层及以下）建筑主体施工形象进度达到地面二层，中高层（即七层至九层）建筑主体施工形象进度达到地面三层，高层（十层及以上）建筑主体施工形象进度达到地面四层及以上。对投入开发建设资金达到工程建设总投资的25%以上并已确定施工进度和竣工交付日期的装配式建筑，在形象进度达到正负零并满足其它预售条件时，可申请办理商品房预售许可证。在建工程抵押的房地产开发项目，在住房保障部门办理抵押合同网签备案后，可以办理商品房预售许可证，当事人另有约定的除外。商品房实际网签销售前，相关房源应办理解除抵押手续。</w:t>
      </w:r>
    </w:p>
    <w:p>
      <w:pPr>
        <w:pStyle w:val="7"/>
        <w:keepNext w:val="0"/>
        <w:keepLines w:val="0"/>
        <w:pageBreakBefore w:val="0"/>
        <w:kinsoku/>
        <w:wordWrap/>
        <w:overflowPunct/>
        <w:topLinePunct w:val="0"/>
        <w:bidi w:val="0"/>
        <w:snapToGrid/>
        <w:spacing w:before="0" w:beforeAutospacing="0" w:after="0" w:afterAutospacing="0" w:line="520" w:lineRule="exact"/>
        <w:ind w:firstLine="560" w:firstLineChars="200"/>
        <w:jc w:val="both"/>
        <w:textAlignment w:val="auto"/>
        <w:rPr>
          <w:rFonts w:hint="eastAsia" w:ascii="仿宋" w:hAnsi="仿宋" w:eastAsia="仿宋" w:cs="仿宋"/>
          <w:b w:val="0"/>
          <w:bCs w:val="0"/>
          <w:color w:val="auto"/>
          <w:spacing w:val="0"/>
          <w:kern w:val="2"/>
          <w:sz w:val="28"/>
          <w:szCs w:val="28"/>
          <w:highlight w:val="none"/>
          <w:lang w:val="en-US" w:eastAsia="zh-CN" w:bidi="ar-SA"/>
        </w:rPr>
      </w:pPr>
      <w:r>
        <w:rPr>
          <w:rFonts w:hint="default" w:ascii="楷体_GB2312" w:hAnsi="楷体_GB2312" w:eastAsia="楷体_GB2312" w:cs="楷体_GB2312"/>
          <w:color w:val="auto"/>
          <w:spacing w:val="0"/>
          <w:sz w:val="28"/>
          <w:szCs w:val="28"/>
          <w:highlight w:val="none"/>
          <w:lang w:val="en-US" w:eastAsia="zh-CN"/>
        </w:rPr>
        <w:t>（</w:t>
      </w:r>
      <w:r>
        <w:rPr>
          <w:rFonts w:hint="eastAsia" w:ascii="楷体_GB2312" w:hAnsi="楷体_GB2312" w:eastAsia="楷体_GB2312" w:cs="楷体_GB2312"/>
          <w:color w:val="auto"/>
          <w:spacing w:val="0"/>
          <w:sz w:val="28"/>
          <w:szCs w:val="28"/>
          <w:highlight w:val="none"/>
          <w:lang w:val="en-US" w:eastAsia="zh-CN"/>
        </w:rPr>
        <w:t>七</w:t>
      </w:r>
      <w:r>
        <w:rPr>
          <w:rFonts w:hint="default" w:ascii="楷体_GB2312" w:hAnsi="楷体_GB2312" w:eastAsia="楷体_GB2312" w:cs="楷体_GB2312"/>
          <w:color w:val="auto"/>
          <w:spacing w:val="0"/>
          <w:sz w:val="28"/>
          <w:szCs w:val="28"/>
          <w:highlight w:val="none"/>
          <w:lang w:val="en-US" w:eastAsia="zh-CN"/>
        </w:rPr>
        <w:t>）优化商品房预售资金监管。</w:t>
      </w:r>
      <w:r>
        <w:rPr>
          <w:rFonts w:hint="eastAsia" w:ascii="仿宋" w:hAnsi="仿宋" w:eastAsia="仿宋" w:cs="仿宋"/>
          <w:b w:val="0"/>
          <w:bCs w:val="0"/>
          <w:color w:val="auto"/>
          <w:spacing w:val="0"/>
          <w:kern w:val="2"/>
          <w:sz w:val="28"/>
          <w:szCs w:val="28"/>
          <w:highlight w:val="none"/>
          <w:lang w:val="en-US" w:eastAsia="zh-CN" w:bidi="ar-SA"/>
        </w:rPr>
        <w:t>购房人缴纳的定金、首付款、商业银行和住房公积金发放的按揭贷款，以及其他形式的购房款等商品房预售资金，全部直接存入资金监管账户，用于有关工程建设，实行资金全过程监管。办理商品房买卖合同网签备案时，商品房预售资金按要求同步存入资金监管账户。信用佳、风险可控的房地产开发企业可在资金监管政策允许范围内，</w:t>
      </w:r>
      <w:r>
        <w:rPr>
          <w:rFonts w:hint="eastAsia" w:ascii="仿宋" w:hAnsi="仿宋" w:eastAsia="仿宋" w:cs="仿宋"/>
          <w:b w:val="0"/>
          <w:bCs w:val="0"/>
          <w:color w:val="auto"/>
          <w:spacing w:val="0"/>
          <w:kern w:val="2"/>
          <w:sz w:val="28"/>
          <w:szCs w:val="28"/>
          <w:highlight w:val="none"/>
          <w:u w:val="none"/>
          <w:lang w:val="en-US" w:eastAsia="zh-CN" w:bidi="ar-SA"/>
        </w:rPr>
        <w:t>凭符合条件的</w:t>
      </w:r>
      <w:r>
        <w:rPr>
          <w:rFonts w:hint="eastAsia" w:ascii="仿宋" w:hAnsi="仿宋" w:eastAsia="仿宋" w:cs="仿宋"/>
          <w:color w:val="auto"/>
          <w:sz w:val="28"/>
          <w:szCs w:val="28"/>
          <w:highlight w:val="none"/>
          <w:u w:val="none"/>
        </w:rPr>
        <w:t>商业银行、商业保险和国有担保公司保函</w:t>
      </w:r>
      <w:r>
        <w:rPr>
          <w:rFonts w:hint="eastAsia" w:ascii="仿宋" w:hAnsi="仿宋" w:eastAsia="仿宋" w:cs="仿宋"/>
          <w:color w:val="auto"/>
          <w:sz w:val="28"/>
          <w:szCs w:val="28"/>
          <w:highlight w:val="none"/>
          <w:u w:val="none"/>
          <w:lang w:eastAsia="zh-CN"/>
        </w:rPr>
        <w:t>，</w:t>
      </w:r>
      <w:r>
        <w:rPr>
          <w:rFonts w:hint="eastAsia" w:ascii="仿宋" w:hAnsi="仿宋" w:eastAsia="仿宋" w:cs="仿宋"/>
          <w:b w:val="0"/>
          <w:bCs w:val="0"/>
          <w:color w:val="auto"/>
          <w:spacing w:val="0"/>
          <w:kern w:val="2"/>
          <w:sz w:val="28"/>
          <w:szCs w:val="28"/>
          <w:highlight w:val="none"/>
          <w:u w:val="none"/>
          <w:lang w:val="en-US" w:eastAsia="zh-CN" w:bidi="ar-SA"/>
        </w:rPr>
        <w:t>按规定替换不高于</w:t>
      </w:r>
      <w:r>
        <w:rPr>
          <w:rFonts w:hint="eastAsia" w:ascii="仿宋" w:hAnsi="仿宋" w:eastAsia="仿宋" w:cs="仿宋"/>
          <w:b w:val="0"/>
          <w:bCs w:val="0"/>
          <w:color w:val="auto"/>
          <w:spacing w:val="0"/>
          <w:kern w:val="2"/>
          <w:sz w:val="28"/>
          <w:szCs w:val="28"/>
          <w:highlight w:val="none"/>
          <w:lang w:val="en-US" w:eastAsia="zh-CN" w:bidi="ar-SA"/>
        </w:rPr>
        <w:t>保函金额的预售监管资金。</w:t>
      </w:r>
    </w:p>
    <w:p>
      <w:pPr>
        <w:keepNext w:val="0"/>
        <w:keepLines w:val="0"/>
        <w:pageBreakBefore w:val="0"/>
        <w:kinsoku/>
        <w:wordWrap/>
        <w:overflowPunct/>
        <w:topLinePunct w:val="0"/>
        <w:bidi w:val="0"/>
        <w:snapToGrid/>
        <w:spacing w:line="520" w:lineRule="exact"/>
        <w:ind w:firstLine="560" w:firstLineChars="200"/>
        <w:textAlignment w:val="auto"/>
        <w:rPr>
          <w:rFonts w:hint="default" w:ascii="黑体" w:hAnsi="黑体" w:eastAsia="黑体" w:cs="黑体"/>
          <w:sz w:val="28"/>
          <w:szCs w:val="28"/>
          <w:highlight w:val="none"/>
          <w:lang w:eastAsia="zh-CN"/>
        </w:rPr>
      </w:pPr>
      <w:r>
        <w:rPr>
          <w:rFonts w:hint="default" w:ascii="黑体" w:hAnsi="黑体" w:eastAsia="黑体" w:cs="黑体"/>
          <w:sz w:val="28"/>
          <w:szCs w:val="28"/>
          <w:highlight w:val="none"/>
          <w:lang w:val="en-US" w:eastAsia="zh-CN"/>
        </w:rPr>
        <w:t>三</w:t>
      </w:r>
      <w:r>
        <w:rPr>
          <w:rFonts w:hint="default" w:ascii="黑体" w:hAnsi="黑体" w:eastAsia="黑体" w:cs="黑体"/>
          <w:sz w:val="28"/>
          <w:szCs w:val="28"/>
          <w:highlight w:val="none"/>
          <w:lang w:eastAsia="zh-CN"/>
        </w:rPr>
        <w:t>、加大金融支持力度</w:t>
      </w:r>
    </w:p>
    <w:p>
      <w:pPr>
        <w:pStyle w:val="10"/>
        <w:keepNext w:val="0"/>
        <w:keepLines w:val="0"/>
        <w:pageBreakBefore w:val="0"/>
        <w:widowControl w:val="0"/>
        <w:kinsoku/>
        <w:wordWrap/>
        <w:overflowPunct/>
        <w:topLinePunct w:val="0"/>
        <w:bidi w:val="0"/>
        <w:snapToGrid/>
        <w:spacing w:line="520" w:lineRule="exact"/>
        <w:ind w:firstLine="560" w:firstLineChars="200"/>
        <w:jc w:val="both"/>
        <w:textAlignment w:val="auto"/>
        <w:rPr>
          <w:rFonts w:hint="default" w:ascii="Times New Roman" w:hAnsi="Times New Roman" w:eastAsia="仿宋" w:cs="Times New Roman"/>
          <w:color w:val="auto"/>
          <w:spacing w:val="0"/>
          <w:kern w:val="0"/>
          <w:sz w:val="28"/>
          <w:szCs w:val="28"/>
          <w:highlight w:val="none"/>
          <w:lang w:val="en-US" w:eastAsia="zh-CN" w:bidi="ar-SA"/>
        </w:rPr>
      </w:pPr>
      <w:r>
        <w:rPr>
          <w:rFonts w:hint="default" w:ascii="楷体_GB2312" w:hAnsi="楷体_GB2312" w:eastAsia="楷体_GB2312" w:cs="楷体_GB2312"/>
          <w:color w:val="auto"/>
          <w:spacing w:val="0"/>
          <w:kern w:val="0"/>
          <w:sz w:val="28"/>
          <w:szCs w:val="28"/>
          <w:highlight w:val="none"/>
          <w:lang w:val="en-US" w:eastAsia="zh-CN" w:bidi="ar-SA"/>
        </w:rPr>
        <w:t>（</w:t>
      </w:r>
      <w:r>
        <w:rPr>
          <w:rFonts w:hint="eastAsia" w:ascii="楷体_GB2312" w:hAnsi="楷体_GB2312" w:eastAsia="楷体_GB2312" w:cs="楷体_GB2312"/>
          <w:color w:val="auto"/>
          <w:spacing w:val="0"/>
          <w:kern w:val="0"/>
          <w:sz w:val="28"/>
          <w:szCs w:val="28"/>
          <w:highlight w:val="none"/>
          <w:lang w:val="en-US" w:eastAsia="zh-CN" w:bidi="ar-SA"/>
        </w:rPr>
        <w:t>八</w:t>
      </w:r>
      <w:r>
        <w:rPr>
          <w:rFonts w:hint="default" w:ascii="楷体_GB2312" w:hAnsi="楷体_GB2312" w:eastAsia="楷体_GB2312" w:cs="楷体_GB2312"/>
          <w:color w:val="auto"/>
          <w:spacing w:val="0"/>
          <w:kern w:val="0"/>
          <w:sz w:val="28"/>
          <w:szCs w:val="28"/>
          <w:highlight w:val="none"/>
          <w:lang w:val="en-US" w:eastAsia="zh-CN" w:bidi="ar-SA"/>
        </w:rPr>
        <w:t>）加强对重点企业的帮扶。</w:t>
      </w:r>
      <w:r>
        <w:rPr>
          <w:rFonts w:hint="eastAsia" w:ascii="仿宋" w:hAnsi="仿宋" w:eastAsia="仿宋" w:cs="仿宋"/>
          <w:color w:val="auto"/>
          <w:spacing w:val="0"/>
          <w:kern w:val="0"/>
          <w:sz w:val="28"/>
          <w:szCs w:val="28"/>
          <w:highlight w:val="none"/>
          <w:lang w:val="en-US" w:eastAsia="zh-CN" w:bidi="ar-SA"/>
        </w:rPr>
        <w:t>分批次、小规模、点对点组织银企对接，鼓励金融机构对受困房地产企业的贷款展期、续贷，保持房地产开发贷款平稳</w:t>
      </w:r>
      <w:r>
        <w:rPr>
          <w:rFonts w:hint="eastAsia" w:ascii="仿宋" w:hAnsi="仿宋" w:eastAsia="仿宋" w:cs="仿宋"/>
          <w:b w:val="0"/>
          <w:bCs w:val="0"/>
          <w:color w:val="auto"/>
          <w:spacing w:val="0"/>
          <w:kern w:val="2"/>
          <w:sz w:val="28"/>
          <w:szCs w:val="28"/>
          <w:highlight w:val="none"/>
          <w:lang w:val="en-US" w:eastAsia="zh-CN" w:bidi="ar-SA"/>
        </w:rPr>
        <w:t>有序</w:t>
      </w:r>
      <w:r>
        <w:rPr>
          <w:rFonts w:hint="eastAsia" w:ascii="仿宋" w:hAnsi="仿宋" w:eastAsia="仿宋" w:cs="仿宋"/>
          <w:color w:val="auto"/>
          <w:spacing w:val="0"/>
          <w:kern w:val="0"/>
          <w:sz w:val="28"/>
          <w:szCs w:val="28"/>
          <w:highlight w:val="none"/>
          <w:lang w:val="en-US" w:eastAsia="zh-CN" w:bidi="ar-SA"/>
        </w:rPr>
        <w:t>投放，做好重点房地产企业风险处置项目并购服务，按照依法合规、风险可控、商业可持续的原则加大房地产企业并购贷款支持，满足建筑企业合理融资需求，不盲目抽贷、断贷、压贷。</w:t>
      </w:r>
    </w:p>
    <w:p>
      <w:pPr>
        <w:pStyle w:val="7"/>
        <w:keepNext w:val="0"/>
        <w:keepLines w:val="0"/>
        <w:pageBreakBefore w:val="0"/>
        <w:kinsoku/>
        <w:wordWrap/>
        <w:overflowPunct/>
        <w:topLinePunct w:val="0"/>
        <w:bidi w:val="0"/>
        <w:snapToGrid/>
        <w:spacing w:before="0" w:beforeAutospacing="0" w:after="0" w:afterAutospacing="0" w:line="520" w:lineRule="exact"/>
        <w:ind w:firstLine="560" w:firstLineChars="200"/>
        <w:jc w:val="both"/>
        <w:textAlignment w:val="auto"/>
        <w:rPr>
          <w:rFonts w:hint="eastAsia" w:ascii="仿宋" w:hAnsi="仿宋" w:eastAsia="仿宋" w:cs="仿宋"/>
          <w:color w:val="auto"/>
          <w:spacing w:val="0"/>
          <w:kern w:val="0"/>
          <w:sz w:val="28"/>
          <w:szCs w:val="28"/>
          <w:highlight w:val="none"/>
          <w:lang w:val="en-US" w:eastAsia="zh-CN" w:bidi="ar-SA"/>
        </w:rPr>
      </w:pPr>
      <w:r>
        <w:rPr>
          <w:rFonts w:hint="default" w:ascii="楷体_GB2312" w:hAnsi="楷体_GB2312" w:eastAsia="楷体_GB2312" w:cs="楷体_GB2312"/>
          <w:color w:val="auto"/>
          <w:spacing w:val="0"/>
          <w:sz w:val="28"/>
          <w:szCs w:val="28"/>
          <w:highlight w:val="none"/>
        </w:rPr>
        <w:t>（</w:t>
      </w:r>
      <w:r>
        <w:rPr>
          <w:rFonts w:hint="eastAsia" w:ascii="楷体_GB2312" w:hAnsi="楷体_GB2312" w:eastAsia="楷体_GB2312" w:cs="楷体_GB2312"/>
          <w:color w:val="auto"/>
          <w:spacing w:val="0"/>
          <w:sz w:val="28"/>
          <w:szCs w:val="28"/>
          <w:highlight w:val="none"/>
          <w:lang w:eastAsia="zh-CN"/>
        </w:rPr>
        <w:t>九</w:t>
      </w:r>
      <w:r>
        <w:rPr>
          <w:rFonts w:hint="default" w:ascii="楷体_GB2312" w:hAnsi="楷体_GB2312" w:eastAsia="楷体_GB2312" w:cs="楷体_GB2312"/>
          <w:color w:val="auto"/>
          <w:spacing w:val="0"/>
          <w:sz w:val="28"/>
          <w:szCs w:val="28"/>
          <w:highlight w:val="none"/>
        </w:rPr>
        <w:t>）</w:t>
      </w:r>
      <w:r>
        <w:rPr>
          <w:rFonts w:hint="default" w:ascii="楷体_GB2312" w:hAnsi="楷体_GB2312" w:eastAsia="楷体_GB2312" w:cs="楷体_GB2312"/>
          <w:color w:val="auto"/>
          <w:spacing w:val="0"/>
          <w:sz w:val="28"/>
          <w:szCs w:val="28"/>
          <w:highlight w:val="none"/>
          <w:lang w:val="en-US" w:eastAsia="zh-CN"/>
        </w:rPr>
        <w:t>降低住房消费信贷成本</w:t>
      </w:r>
      <w:r>
        <w:rPr>
          <w:rFonts w:hint="default" w:ascii="楷体_GB2312" w:hAnsi="楷体_GB2312" w:eastAsia="楷体_GB2312" w:cs="楷体_GB2312"/>
          <w:color w:val="auto"/>
          <w:spacing w:val="0"/>
          <w:sz w:val="28"/>
          <w:szCs w:val="28"/>
          <w:highlight w:val="none"/>
        </w:rPr>
        <w:t>。</w:t>
      </w:r>
      <w:r>
        <w:rPr>
          <w:rFonts w:hint="eastAsia" w:ascii="仿宋" w:hAnsi="仿宋" w:eastAsia="仿宋" w:cs="仿宋"/>
          <w:color w:val="auto"/>
          <w:spacing w:val="0"/>
          <w:kern w:val="0"/>
          <w:sz w:val="28"/>
          <w:szCs w:val="28"/>
          <w:highlight w:val="none"/>
          <w:lang w:val="en-US" w:eastAsia="zh-CN" w:bidi="ar-SA"/>
        </w:rPr>
        <w:t>引导在修金融机构</w:t>
      </w:r>
      <w:r>
        <w:rPr>
          <w:rFonts w:hint="eastAsia" w:ascii="仿宋" w:hAnsi="仿宋" w:eastAsia="仿宋" w:cs="仿宋"/>
          <w:color w:val="auto"/>
          <w:spacing w:val="0"/>
          <w:kern w:val="0"/>
          <w:sz w:val="28"/>
          <w:szCs w:val="28"/>
          <w:highlight w:val="none"/>
          <w:u w:val="none"/>
          <w:lang w:val="en-US" w:eastAsia="zh-CN" w:bidi="ar-SA"/>
        </w:rPr>
        <w:t>加大个人住房按揭贷款投放，按照上级银行统一标准及</w:t>
      </w:r>
      <w:r>
        <w:rPr>
          <w:rFonts w:hint="eastAsia" w:ascii="仿宋" w:hAnsi="仿宋" w:eastAsia="仿宋" w:cs="仿宋"/>
          <w:color w:val="auto"/>
          <w:spacing w:val="0"/>
          <w:kern w:val="0"/>
          <w:sz w:val="28"/>
          <w:szCs w:val="28"/>
          <w:highlight w:val="none"/>
          <w:lang w:val="en-US" w:eastAsia="zh-CN" w:bidi="ar-SA"/>
        </w:rPr>
        <w:t>差异化安排，下调商业银行住房贷款利率。对拥有一套住房并已结清相应购房贷款的家庭，为改善居住条件再次申请贷款购买普通商品住房，银行业金融机构执行首套房贷款政策。住房公积金夫妻双方贷款最高额度调整到55万，单方贷款最高额度为40万。</w:t>
      </w:r>
    </w:p>
    <w:p>
      <w:pPr>
        <w:keepNext w:val="0"/>
        <w:keepLines w:val="0"/>
        <w:pageBreakBefore w:val="0"/>
        <w:kinsoku/>
        <w:wordWrap/>
        <w:overflowPunct/>
        <w:topLinePunct w:val="0"/>
        <w:bidi w:val="0"/>
        <w:snapToGrid/>
        <w:spacing w:line="520" w:lineRule="exact"/>
        <w:ind w:firstLine="560" w:firstLineChars="200"/>
        <w:textAlignment w:val="auto"/>
        <w:rPr>
          <w:rFonts w:hint="default" w:ascii="黑体" w:hAnsi="黑体" w:eastAsia="黑体" w:cs="黑体"/>
          <w:sz w:val="28"/>
          <w:szCs w:val="28"/>
          <w:highlight w:val="none"/>
          <w:lang w:eastAsia="zh-CN"/>
        </w:rPr>
      </w:pPr>
      <w:r>
        <w:rPr>
          <w:rFonts w:hint="default" w:ascii="黑体" w:hAnsi="黑体" w:eastAsia="黑体" w:cs="黑体"/>
          <w:sz w:val="28"/>
          <w:szCs w:val="28"/>
          <w:highlight w:val="none"/>
          <w:lang w:val="en-US" w:eastAsia="zh-CN"/>
        </w:rPr>
        <w:t>四</w:t>
      </w:r>
      <w:r>
        <w:rPr>
          <w:rFonts w:hint="default" w:ascii="黑体" w:hAnsi="黑体" w:eastAsia="黑体" w:cs="黑体"/>
          <w:sz w:val="28"/>
          <w:szCs w:val="28"/>
          <w:highlight w:val="none"/>
          <w:lang w:eastAsia="zh-CN"/>
        </w:rPr>
        <w:t>、</w:t>
      </w:r>
      <w:r>
        <w:rPr>
          <w:rFonts w:hint="default" w:ascii="黑体" w:hAnsi="黑体" w:eastAsia="黑体" w:cs="黑体"/>
          <w:sz w:val="28"/>
          <w:szCs w:val="28"/>
          <w:highlight w:val="none"/>
          <w:lang w:val="en-US" w:eastAsia="zh-CN"/>
        </w:rPr>
        <w:t>优化产业发展环境</w:t>
      </w:r>
    </w:p>
    <w:p>
      <w:pPr>
        <w:pStyle w:val="7"/>
        <w:keepNext w:val="0"/>
        <w:keepLines w:val="0"/>
        <w:pageBreakBefore w:val="0"/>
        <w:kinsoku/>
        <w:wordWrap/>
        <w:overflowPunct/>
        <w:topLinePunct w:val="0"/>
        <w:bidi w:val="0"/>
        <w:snapToGrid/>
        <w:spacing w:before="0" w:beforeAutospacing="0" w:after="0" w:afterAutospacing="0" w:line="520" w:lineRule="exact"/>
        <w:ind w:firstLine="560" w:firstLineChars="200"/>
        <w:jc w:val="left"/>
        <w:textAlignment w:val="auto"/>
        <w:rPr>
          <w:rFonts w:hint="default" w:ascii="Times New Roman" w:hAnsi="Times New Roman" w:eastAsia="仿宋_GB2312" w:cs="Times New Roman"/>
          <w:color w:val="auto"/>
          <w:spacing w:val="0"/>
          <w:kern w:val="0"/>
          <w:sz w:val="28"/>
          <w:szCs w:val="28"/>
          <w:highlight w:val="none"/>
          <w:lang w:val="en-US" w:eastAsia="zh-CN" w:bidi="ar-SA"/>
        </w:rPr>
      </w:pPr>
      <w:r>
        <w:rPr>
          <w:rFonts w:hint="default" w:ascii="楷体_GB2312" w:hAnsi="楷体_GB2312" w:eastAsia="楷体_GB2312" w:cs="楷体_GB2312"/>
          <w:color w:val="auto"/>
          <w:spacing w:val="0"/>
          <w:sz w:val="28"/>
          <w:szCs w:val="28"/>
          <w:highlight w:val="none"/>
        </w:rPr>
        <w:t>（</w:t>
      </w:r>
      <w:r>
        <w:rPr>
          <w:rFonts w:hint="eastAsia" w:ascii="楷体_GB2312" w:hAnsi="楷体_GB2312" w:eastAsia="楷体_GB2312" w:cs="楷体_GB2312"/>
          <w:color w:val="auto"/>
          <w:spacing w:val="0"/>
          <w:sz w:val="28"/>
          <w:szCs w:val="28"/>
          <w:highlight w:val="none"/>
          <w:lang w:val="en-US" w:eastAsia="zh-CN"/>
        </w:rPr>
        <w:t>十</w:t>
      </w:r>
      <w:r>
        <w:rPr>
          <w:rFonts w:hint="default" w:ascii="楷体_GB2312" w:hAnsi="楷体_GB2312" w:eastAsia="楷体_GB2312" w:cs="楷体_GB2312"/>
          <w:color w:val="auto"/>
          <w:spacing w:val="0"/>
          <w:sz w:val="28"/>
          <w:szCs w:val="28"/>
          <w:highlight w:val="none"/>
        </w:rPr>
        <w:t>）提高政务服务水平便利交易。</w:t>
      </w:r>
      <w:r>
        <w:rPr>
          <w:rFonts w:hint="eastAsia" w:ascii="仿宋" w:hAnsi="仿宋" w:eastAsia="仿宋" w:cs="仿宋"/>
          <w:color w:val="auto"/>
          <w:spacing w:val="0"/>
          <w:kern w:val="0"/>
          <w:sz w:val="28"/>
          <w:szCs w:val="28"/>
          <w:highlight w:val="none"/>
          <w:lang w:val="en-US" w:eastAsia="zh-CN" w:bidi="ar-SA"/>
        </w:rPr>
        <w:t>运用信息化手段提高商品房网签备案和预售资金监管效率，压缩企业回款时限。推行“交房即办证”模式，加快释放企业贷款保证金，有效缓解企业资金压力</w:t>
      </w:r>
      <w:r>
        <w:rPr>
          <w:rFonts w:hint="default" w:ascii="Times New Roman" w:hAnsi="Times New Roman" w:eastAsia="仿宋_GB2312" w:cs="Times New Roman"/>
          <w:color w:val="auto"/>
          <w:spacing w:val="0"/>
          <w:kern w:val="0"/>
          <w:sz w:val="28"/>
          <w:szCs w:val="28"/>
          <w:highlight w:val="none"/>
          <w:lang w:val="en-US" w:eastAsia="zh-CN" w:bidi="ar-SA"/>
        </w:rPr>
        <w:t>。</w:t>
      </w:r>
    </w:p>
    <w:p>
      <w:pPr>
        <w:pStyle w:val="7"/>
        <w:keepNext w:val="0"/>
        <w:keepLines w:val="0"/>
        <w:pageBreakBefore w:val="0"/>
        <w:kinsoku/>
        <w:wordWrap/>
        <w:overflowPunct/>
        <w:topLinePunct w:val="0"/>
        <w:bidi w:val="0"/>
        <w:snapToGrid/>
        <w:spacing w:before="0" w:beforeAutospacing="0" w:after="0" w:afterAutospacing="0" w:line="520" w:lineRule="exact"/>
        <w:ind w:firstLine="560" w:firstLineChars="200"/>
        <w:jc w:val="both"/>
        <w:textAlignment w:val="auto"/>
        <w:rPr>
          <w:rFonts w:hint="eastAsia" w:ascii="仿宋" w:hAnsi="仿宋" w:eastAsia="仿宋" w:cs="仿宋"/>
          <w:color w:val="auto"/>
          <w:spacing w:val="0"/>
          <w:kern w:val="0"/>
          <w:sz w:val="28"/>
          <w:szCs w:val="28"/>
          <w:highlight w:val="none"/>
          <w:lang w:val="en-US" w:eastAsia="zh-CN" w:bidi="ar-SA"/>
        </w:rPr>
      </w:pPr>
      <w:r>
        <w:rPr>
          <w:rFonts w:hint="default" w:ascii="楷体_GB2312" w:hAnsi="楷体_GB2312" w:eastAsia="楷体_GB2312" w:cs="楷体_GB2312"/>
          <w:color w:val="auto"/>
          <w:spacing w:val="0"/>
          <w:sz w:val="28"/>
          <w:szCs w:val="28"/>
          <w:highlight w:val="none"/>
        </w:rPr>
        <w:t>（</w:t>
      </w:r>
      <w:r>
        <w:rPr>
          <w:rFonts w:hint="default" w:ascii="楷体_GB2312" w:hAnsi="楷体_GB2312" w:eastAsia="楷体_GB2312" w:cs="楷体_GB2312"/>
          <w:color w:val="auto"/>
          <w:spacing w:val="0"/>
          <w:sz w:val="28"/>
          <w:szCs w:val="28"/>
          <w:highlight w:val="none"/>
          <w:lang w:val="en-US" w:eastAsia="zh-CN"/>
        </w:rPr>
        <w:t>十</w:t>
      </w:r>
      <w:r>
        <w:rPr>
          <w:rFonts w:hint="eastAsia" w:ascii="楷体_GB2312" w:hAnsi="楷体_GB2312" w:eastAsia="楷体_GB2312" w:cs="楷体_GB2312"/>
          <w:color w:val="auto"/>
          <w:spacing w:val="0"/>
          <w:sz w:val="28"/>
          <w:szCs w:val="28"/>
          <w:highlight w:val="none"/>
          <w:lang w:val="en-US" w:eastAsia="zh-CN"/>
        </w:rPr>
        <w:t>一</w:t>
      </w:r>
      <w:r>
        <w:rPr>
          <w:rFonts w:hint="default" w:ascii="楷体_GB2312" w:hAnsi="楷体_GB2312" w:eastAsia="楷体_GB2312" w:cs="楷体_GB2312"/>
          <w:color w:val="auto"/>
          <w:spacing w:val="0"/>
          <w:sz w:val="28"/>
          <w:szCs w:val="28"/>
          <w:highlight w:val="none"/>
        </w:rPr>
        <w:t>）</w:t>
      </w:r>
      <w:r>
        <w:rPr>
          <w:rFonts w:hint="default" w:ascii="楷体_GB2312" w:hAnsi="楷体_GB2312" w:eastAsia="楷体_GB2312" w:cs="楷体_GB2312"/>
          <w:color w:val="auto"/>
          <w:spacing w:val="0"/>
          <w:sz w:val="28"/>
          <w:szCs w:val="28"/>
          <w:highlight w:val="none"/>
          <w:lang w:val="en-US" w:eastAsia="zh-CN"/>
        </w:rPr>
        <w:t>压缩建设项目审批时限</w:t>
      </w:r>
      <w:r>
        <w:rPr>
          <w:rFonts w:hint="default" w:ascii="楷体_GB2312" w:hAnsi="楷体_GB2312" w:eastAsia="楷体_GB2312" w:cs="楷体_GB2312"/>
          <w:color w:val="auto"/>
          <w:spacing w:val="0"/>
          <w:sz w:val="28"/>
          <w:szCs w:val="28"/>
          <w:highlight w:val="none"/>
        </w:rPr>
        <w:t>。</w:t>
      </w:r>
      <w:r>
        <w:rPr>
          <w:rFonts w:hint="eastAsia" w:ascii="仿宋" w:hAnsi="仿宋" w:eastAsia="仿宋" w:cs="仿宋"/>
          <w:color w:val="auto"/>
          <w:spacing w:val="0"/>
          <w:kern w:val="0"/>
          <w:sz w:val="28"/>
          <w:szCs w:val="28"/>
          <w:highlight w:val="none"/>
          <w:lang w:val="en-US" w:eastAsia="zh-CN" w:bidi="ar-SA"/>
        </w:rPr>
        <w:t>精简建设项目审批程序，工程建设项目全流程审批时间控制在45天以内，实施科学精准的扬尘防控和疫情防控措施，增加有效施工天数。</w:t>
      </w:r>
    </w:p>
    <w:p>
      <w:pPr>
        <w:pStyle w:val="7"/>
        <w:keepNext w:val="0"/>
        <w:keepLines w:val="0"/>
        <w:pageBreakBefore w:val="0"/>
        <w:kinsoku/>
        <w:wordWrap/>
        <w:overflowPunct/>
        <w:topLinePunct w:val="0"/>
        <w:bidi w:val="0"/>
        <w:snapToGrid/>
        <w:spacing w:before="0" w:beforeAutospacing="0" w:after="0" w:afterAutospacing="0" w:line="520" w:lineRule="exact"/>
        <w:ind w:firstLine="560" w:firstLineChars="200"/>
        <w:jc w:val="both"/>
        <w:textAlignment w:val="auto"/>
        <w:rPr>
          <w:rFonts w:hint="eastAsia" w:ascii="仿宋" w:hAnsi="仿宋" w:eastAsia="仿宋" w:cs="仿宋"/>
          <w:color w:val="auto"/>
          <w:spacing w:val="0"/>
          <w:sz w:val="28"/>
          <w:szCs w:val="28"/>
          <w:highlight w:val="none"/>
        </w:rPr>
      </w:pPr>
      <w:r>
        <w:rPr>
          <w:rFonts w:hint="default" w:ascii="楷体_GB2312" w:hAnsi="楷体_GB2312" w:eastAsia="楷体_GB2312" w:cs="楷体_GB2312"/>
          <w:color w:val="auto"/>
          <w:spacing w:val="0"/>
          <w:sz w:val="28"/>
          <w:szCs w:val="28"/>
          <w:highlight w:val="none"/>
          <w:lang w:eastAsia="zh-CN"/>
        </w:rPr>
        <w:t>（</w:t>
      </w:r>
      <w:r>
        <w:rPr>
          <w:rFonts w:hint="default" w:ascii="楷体_GB2312" w:hAnsi="楷体_GB2312" w:eastAsia="楷体_GB2312" w:cs="楷体_GB2312"/>
          <w:color w:val="auto"/>
          <w:spacing w:val="0"/>
          <w:sz w:val="28"/>
          <w:szCs w:val="28"/>
          <w:highlight w:val="none"/>
          <w:lang w:val="en-US" w:eastAsia="zh-CN"/>
        </w:rPr>
        <w:t>十</w:t>
      </w:r>
      <w:r>
        <w:rPr>
          <w:rFonts w:hint="eastAsia" w:ascii="楷体_GB2312" w:hAnsi="楷体_GB2312" w:eastAsia="楷体_GB2312" w:cs="楷体_GB2312"/>
          <w:color w:val="auto"/>
          <w:spacing w:val="0"/>
          <w:sz w:val="28"/>
          <w:szCs w:val="28"/>
          <w:highlight w:val="none"/>
          <w:lang w:val="en-US" w:eastAsia="zh-CN"/>
        </w:rPr>
        <w:t>二</w:t>
      </w:r>
      <w:r>
        <w:rPr>
          <w:rFonts w:hint="default" w:ascii="楷体_GB2312" w:hAnsi="楷体_GB2312" w:eastAsia="楷体_GB2312" w:cs="楷体_GB2312"/>
          <w:color w:val="auto"/>
          <w:spacing w:val="0"/>
          <w:sz w:val="28"/>
          <w:szCs w:val="28"/>
          <w:highlight w:val="none"/>
          <w:lang w:eastAsia="zh-CN"/>
        </w:rPr>
        <w:t>）加快政府涉企资金兑付</w:t>
      </w:r>
      <w:r>
        <w:rPr>
          <w:rFonts w:hint="default" w:ascii="楷体_GB2312" w:hAnsi="楷体_GB2312" w:eastAsia="楷体_GB2312" w:cs="楷体_GB2312"/>
          <w:color w:val="auto"/>
          <w:spacing w:val="0"/>
          <w:sz w:val="28"/>
          <w:szCs w:val="28"/>
          <w:highlight w:val="none"/>
          <w:u w:val="none"/>
        </w:rPr>
        <w:t>。</w:t>
      </w:r>
      <w:r>
        <w:rPr>
          <w:rFonts w:hint="eastAsia" w:ascii="仿宋" w:hAnsi="仿宋" w:eastAsia="仿宋" w:cs="仿宋"/>
          <w:color w:val="auto"/>
          <w:sz w:val="28"/>
          <w:szCs w:val="28"/>
          <w:u w:val="none"/>
        </w:rPr>
        <w:t>依法依规</w:t>
      </w:r>
      <w:r>
        <w:rPr>
          <w:rFonts w:hint="eastAsia" w:ascii="仿宋" w:hAnsi="仿宋" w:eastAsia="仿宋" w:cs="仿宋"/>
          <w:color w:val="auto"/>
          <w:spacing w:val="0"/>
          <w:kern w:val="0"/>
          <w:sz w:val="28"/>
          <w:szCs w:val="28"/>
          <w:highlight w:val="none"/>
          <w:lang w:val="en-US" w:eastAsia="zh-CN" w:bidi="ar-SA"/>
        </w:rPr>
        <w:t>妥善处置政府对房地产开发企业欠款，及时退还各类保证金，落实规费减免政策。对房地产开发企业在开发建设过程中垫资进行的拆迁、修路等本应由政府承担的费用进行统一清理核算，并和企业协商以快捷合规方式予以化解。</w:t>
      </w:r>
    </w:p>
    <w:p>
      <w:pPr>
        <w:keepNext w:val="0"/>
        <w:keepLines w:val="0"/>
        <w:pageBreakBefore w:val="0"/>
        <w:kinsoku/>
        <w:wordWrap/>
        <w:overflowPunct/>
        <w:topLinePunct w:val="0"/>
        <w:bidi w:val="0"/>
        <w:snapToGrid/>
        <w:spacing w:line="520" w:lineRule="exact"/>
        <w:ind w:firstLine="560" w:firstLineChars="200"/>
        <w:textAlignment w:val="auto"/>
        <w:rPr>
          <w:rFonts w:hint="default" w:ascii="黑体" w:hAnsi="黑体" w:eastAsia="黑体" w:cs="黑体"/>
          <w:sz w:val="28"/>
          <w:szCs w:val="28"/>
          <w:highlight w:val="none"/>
          <w:lang w:eastAsia="zh-CN"/>
        </w:rPr>
      </w:pPr>
      <w:r>
        <w:rPr>
          <w:rFonts w:hint="default" w:ascii="黑体" w:hAnsi="黑体" w:eastAsia="黑体" w:cs="黑体"/>
          <w:sz w:val="28"/>
          <w:szCs w:val="28"/>
          <w:highlight w:val="none"/>
          <w:lang w:eastAsia="zh-CN"/>
        </w:rPr>
        <w:t>五、规范房地产市场运行</w:t>
      </w:r>
    </w:p>
    <w:p>
      <w:pPr>
        <w:pStyle w:val="7"/>
        <w:keepNext w:val="0"/>
        <w:keepLines w:val="0"/>
        <w:pageBreakBefore w:val="0"/>
        <w:kinsoku/>
        <w:wordWrap/>
        <w:overflowPunct/>
        <w:topLinePunct w:val="0"/>
        <w:bidi w:val="0"/>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spacing w:val="0"/>
          <w:sz w:val="28"/>
          <w:szCs w:val="28"/>
          <w:highlight w:val="none"/>
        </w:rPr>
      </w:pPr>
      <w:r>
        <w:rPr>
          <w:rFonts w:hint="default" w:ascii="楷体_GB2312" w:hAnsi="楷体_GB2312" w:eastAsia="楷体_GB2312" w:cs="楷体_GB2312"/>
          <w:color w:val="auto"/>
          <w:spacing w:val="0"/>
          <w:sz w:val="28"/>
          <w:szCs w:val="28"/>
          <w:highlight w:val="none"/>
        </w:rPr>
        <w:t>（</w:t>
      </w:r>
      <w:r>
        <w:rPr>
          <w:rFonts w:hint="default" w:ascii="楷体_GB2312" w:hAnsi="楷体_GB2312" w:eastAsia="楷体_GB2312" w:cs="楷体_GB2312"/>
          <w:color w:val="auto"/>
          <w:spacing w:val="0"/>
          <w:sz w:val="28"/>
          <w:szCs w:val="28"/>
          <w:highlight w:val="none"/>
          <w:lang w:eastAsia="zh-CN"/>
        </w:rPr>
        <w:t>十</w:t>
      </w:r>
      <w:r>
        <w:rPr>
          <w:rFonts w:hint="eastAsia" w:ascii="楷体_GB2312" w:hAnsi="楷体_GB2312" w:eastAsia="楷体_GB2312" w:cs="楷体_GB2312"/>
          <w:color w:val="auto"/>
          <w:spacing w:val="0"/>
          <w:sz w:val="28"/>
          <w:szCs w:val="28"/>
          <w:highlight w:val="none"/>
          <w:lang w:eastAsia="zh-CN"/>
        </w:rPr>
        <w:t>三</w:t>
      </w:r>
      <w:r>
        <w:rPr>
          <w:rFonts w:hint="default" w:ascii="楷体_GB2312" w:hAnsi="楷体_GB2312" w:eastAsia="楷体_GB2312" w:cs="楷体_GB2312"/>
          <w:color w:val="auto"/>
          <w:spacing w:val="0"/>
          <w:sz w:val="28"/>
          <w:szCs w:val="28"/>
          <w:highlight w:val="none"/>
        </w:rPr>
        <w:t>）规范房地产市场秩序。</w:t>
      </w:r>
      <w:r>
        <w:rPr>
          <w:rFonts w:hint="eastAsia" w:ascii="仿宋" w:hAnsi="仿宋" w:eastAsia="仿宋" w:cs="仿宋"/>
          <w:color w:val="auto"/>
          <w:spacing w:val="0"/>
          <w:kern w:val="0"/>
          <w:sz w:val="28"/>
          <w:szCs w:val="28"/>
          <w:highlight w:val="none"/>
          <w:lang w:val="en-US" w:eastAsia="zh-CN" w:bidi="ar-SA"/>
        </w:rPr>
        <w:t>持续开展房地产市场秩序整治工作，落</w:t>
      </w:r>
      <w:r>
        <w:rPr>
          <w:rFonts w:hint="eastAsia" w:ascii="仿宋" w:hAnsi="仿宋" w:eastAsia="仿宋" w:cs="仿宋"/>
          <w:color w:val="auto"/>
          <w:spacing w:val="0"/>
          <w:kern w:val="0"/>
          <w:sz w:val="28"/>
          <w:szCs w:val="28"/>
          <w:highlight w:val="none"/>
          <w:u w:val="none"/>
          <w:lang w:val="en-US" w:eastAsia="zh-CN" w:bidi="ar-SA"/>
        </w:rPr>
        <w:t>实“双随机、一公开”检</w:t>
      </w:r>
      <w:r>
        <w:rPr>
          <w:rFonts w:hint="eastAsia" w:ascii="仿宋" w:hAnsi="仿宋" w:eastAsia="仿宋" w:cs="仿宋"/>
          <w:color w:val="auto"/>
          <w:spacing w:val="0"/>
          <w:kern w:val="0"/>
          <w:sz w:val="28"/>
          <w:szCs w:val="28"/>
          <w:highlight w:val="none"/>
          <w:lang w:val="en-US" w:eastAsia="zh-CN" w:bidi="ar-SA"/>
        </w:rPr>
        <w:t>查，加大联合执法力度，严肃查处未批先售、虚假宣传、挪用预售资金、变相规避调控政策等违法违规行为。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pacing w:val="0"/>
          <w:kern w:val="0"/>
          <w:sz w:val="28"/>
          <w:szCs w:val="28"/>
          <w:highlight w:val="none"/>
          <w:lang w:val="en-US" w:eastAsia="zh-CN" w:bidi="ar-SA"/>
        </w:rPr>
      </w:pPr>
      <w:r>
        <w:rPr>
          <w:rFonts w:hint="default" w:ascii="楷体_GB2312" w:hAnsi="楷体_GB2312" w:eastAsia="楷体_GB2312" w:cs="楷体_GB2312"/>
          <w:color w:val="auto"/>
          <w:spacing w:val="0"/>
          <w:kern w:val="0"/>
          <w:sz w:val="28"/>
          <w:szCs w:val="28"/>
          <w:highlight w:val="none"/>
          <w:lang w:val="en-US" w:eastAsia="zh-CN" w:bidi="ar-SA"/>
        </w:rPr>
        <w:t>（十</w:t>
      </w:r>
      <w:r>
        <w:rPr>
          <w:rFonts w:hint="eastAsia" w:ascii="楷体_GB2312" w:hAnsi="楷体_GB2312" w:eastAsia="楷体_GB2312" w:cs="楷体_GB2312"/>
          <w:color w:val="auto"/>
          <w:spacing w:val="0"/>
          <w:kern w:val="0"/>
          <w:sz w:val="28"/>
          <w:szCs w:val="28"/>
          <w:highlight w:val="none"/>
          <w:lang w:val="en-US" w:eastAsia="zh-CN" w:bidi="ar-SA"/>
        </w:rPr>
        <w:t>四</w:t>
      </w:r>
      <w:r>
        <w:rPr>
          <w:rFonts w:hint="default" w:ascii="楷体_GB2312" w:hAnsi="楷体_GB2312" w:eastAsia="楷体_GB2312" w:cs="楷体_GB2312"/>
          <w:color w:val="auto"/>
          <w:spacing w:val="0"/>
          <w:kern w:val="0"/>
          <w:sz w:val="28"/>
          <w:szCs w:val="28"/>
          <w:highlight w:val="none"/>
          <w:lang w:val="en-US" w:eastAsia="zh-CN" w:bidi="ar-SA"/>
        </w:rPr>
        <w:t>）加快处置问题楼盘和风险企业。</w:t>
      </w:r>
      <w:r>
        <w:rPr>
          <w:rFonts w:hint="default" w:ascii="仿宋" w:hAnsi="仿宋" w:eastAsia="仿宋" w:cs="仿宋"/>
          <w:color w:val="auto"/>
          <w:spacing w:val="0"/>
          <w:kern w:val="0"/>
          <w:sz w:val="28"/>
          <w:szCs w:val="28"/>
          <w:highlight w:val="none"/>
          <w:lang w:val="en-US" w:eastAsia="zh-CN" w:bidi="ar-SA"/>
        </w:rPr>
        <w:t>对排查出的问题楼盘和风险企业，推行清单式管理。逐个项目梳理出问题清单，明确解决事项、适用政策、工作措施、责任部门和责任人、完成时限等，及时交办，紧盯落实，跟踪销号。坚持控新治旧，消存量、控增量、防变量，攻坚化解问题楼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pacing w:val="0"/>
          <w:kern w:val="0"/>
          <w:sz w:val="28"/>
          <w:szCs w:val="28"/>
          <w:highlight w:val="none"/>
          <w:lang w:val="en-US" w:eastAsia="zh-CN" w:bidi="ar-SA"/>
        </w:rPr>
      </w:pPr>
      <w:r>
        <w:rPr>
          <w:rFonts w:hint="default" w:ascii="楷体_GB2312" w:hAnsi="楷体_GB2312" w:eastAsia="楷体_GB2312" w:cs="楷体_GB2312"/>
          <w:color w:val="auto"/>
          <w:spacing w:val="0"/>
          <w:kern w:val="0"/>
          <w:sz w:val="28"/>
          <w:szCs w:val="28"/>
          <w:highlight w:val="none"/>
          <w:lang w:val="en-US" w:eastAsia="zh-CN" w:bidi="ar-SA"/>
        </w:rPr>
        <w:t>（十</w:t>
      </w:r>
      <w:r>
        <w:rPr>
          <w:rFonts w:hint="eastAsia" w:ascii="楷体_GB2312" w:hAnsi="楷体_GB2312" w:eastAsia="楷体_GB2312" w:cs="楷体_GB2312"/>
          <w:color w:val="auto"/>
          <w:spacing w:val="0"/>
          <w:kern w:val="0"/>
          <w:sz w:val="28"/>
          <w:szCs w:val="28"/>
          <w:highlight w:val="none"/>
          <w:lang w:val="en-US" w:eastAsia="zh-CN" w:bidi="ar-SA"/>
        </w:rPr>
        <w:t>五</w:t>
      </w:r>
      <w:r>
        <w:rPr>
          <w:rFonts w:hint="default" w:ascii="楷体_GB2312" w:hAnsi="楷体_GB2312" w:eastAsia="楷体_GB2312" w:cs="楷体_GB2312"/>
          <w:color w:val="auto"/>
          <w:spacing w:val="0"/>
          <w:kern w:val="0"/>
          <w:sz w:val="28"/>
          <w:szCs w:val="28"/>
          <w:highlight w:val="none"/>
          <w:lang w:val="en-US" w:eastAsia="zh-CN" w:bidi="ar-SA"/>
        </w:rPr>
        <w:t>）做好舆论宣传引导。</w:t>
      </w:r>
      <w:r>
        <w:rPr>
          <w:rFonts w:hint="eastAsia" w:ascii="仿宋" w:hAnsi="仿宋" w:eastAsia="仿宋" w:cs="仿宋"/>
          <w:color w:val="auto"/>
          <w:spacing w:val="0"/>
          <w:kern w:val="0"/>
          <w:sz w:val="28"/>
          <w:szCs w:val="28"/>
          <w:highlight w:val="none"/>
          <w:lang w:val="en-US" w:eastAsia="zh-CN" w:bidi="ar-SA"/>
        </w:rPr>
        <w:t>营造正面舆论环境，及时发布房地产运行数据和正面舆论信息，积极以正面信息引导市场预期，增强群众对房地产市场、城市发展的信心。严厉打击恶意传播、炒作负面舆情、唱衰市场等行为。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b/>
          <w:bCs/>
        </w:rPr>
      </w:pPr>
      <w:r>
        <w:rPr>
          <w:rFonts w:hint="eastAsia" w:ascii="仿宋" w:hAnsi="仿宋" w:eastAsia="仿宋" w:cs="仿宋"/>
          <w:color w:val="auto"/>
          <w:sz w:val="28"/>
          <w:szCs w:val="28"/>
        </w:rPr>
        <w:t>本意见自发布之日起执行。在试行期间如国家法律、法规另有规定的，以国家法律、法规为准。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YjFkYzNhZDlhZjExZWQ0M2MzY2Y2ZGUxMmE2ZjkifQ=="/>
  </w:docVars>
  <w:rsids>
    <w:rsidRoot w:val="00000000"/>
    <w:rsid w:val="0017338A"/>
    <w:rsid w:val="00CD1788"/>
    <w:rsid w:val="0A8F317D"/>
    <w:rsid w:val="0D004C93"/>
    <w:rsid w:val="0E733199"/>
    <w:rsid w:val="10685029"/>
    <w:rsid w:val="29B54152"/>
    <w:rsid w:val="302B63D9"/>
    <w:rsid w:val="375C0B95"/>
    <w:rsid w:val="3A8153A2"/>
    <w:rsid w:val="3C9F0534"/>
    <w:rsid w:val="413B7A6D"/>
    <w:rsid w:val="445C0A6F"/>
    <w:rsid w:val="487C1159"/>
    <w:rsid w:val="4DD40A2D"/>
    <w:rsid w:val="52451942"/>
    <w:rsid w:val="5FA2250B"/>
    <w:rsid w:val="6F9B3A77"/>
    <w:rsid w:val="71FB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rPr>
      <w:rFonts w:ascii="Times New Roman" w:hAnsi="Times New Roman" w:eastAsia="宋体" w:cs="Times New Roman"/>
      <w:szCs w:val="32"/>
    </w:rPr>
  </w:style>
  <w:style w:type="paragraph" w:styleId="4">
    <w:name w:val="Body Text 2"/>
    <w:basedOn w:val="1"/>
    <w:unhideWhenUsed/>
    <w:qFormat/>
    <w:uiPriority w:val="99"/>
    <w:pPr>
      <w:spacing w:after="120" w:afterLines="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Default"/>
    <w:qFormat/>
    <w:uiPriority w:val="0"/>
    <w:pPr>
      <w:widowControl w:val="0"/>
      <w:autoSpaceDE w:val="0"/>
      <w:autoSpaceDN w:val="0"/>
      <w:adjustRightInd w:val="0"/>
    </w:pPr>
    <w:rPr>
      <w:rFonts w:hint="eastAsia"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2459</Words>
  <Characters>2495</Characters>
  <Lines>0</Lines>
  <Paragraphs>0</Paragraphs>
  <TotalTime>3</TotalTime>
  <ScaleCrop>false</ScaleCrop>
  <LinksUpToDate>false</LinksUpToDate>
  <CharactersWithSpaces>2495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2022-05-26T01:11:00Z</dcterms:created>
  <dc:creator>Administrator</dc:creator>
  <cp:lastModifiedBy>思雨</cp:lastModifiedBy>
  <cp:lastPrinted>2022-07-07T08:30:00Z</cp:lastPrinted>
  <dcterms:modified xsi:type="dcterms:W3CDTF">2022-08-04T08:00:57Z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F9C3939AE8524975831C1B3809F50C38</vt:lpwstr>
  </property>
</Properties>
</file>