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32"/>
          <w:szCs w:val="32"/>
          <w:shd w:val="clear" w:fill="FFFFFF"/>
        </w:rPr>
        <w:t>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0"/>
          <w:szCs w:val="40"/>
          <w:shd w:val="clear" w:fill="FFFFFF"/>
        </w:rPr>
        <w:t>新闻出版版权领域基层政务公开标准目录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Style w:val="9"/>
        <w:tblW w:w="14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8"/>
        <w:gridCol w:w="818"/>
        <w:gridCol w:w="1161"/>
        <w:gridCol w:w="1831"/>
        <w:gridCol w:w="2521"/>
        <w:gridCol w:w="1132"/>
        <w:gridCol w:w="1173"/>
        <w:gridCol w:w="1572"/>
        <w:gridCol w:w="433"/>
        <w:gridCol w:w="699"/>
        <w:gridCol w:w="463"/>
        <w:gridCol w:w="832"/>
        <w:gridCol w:w="477"/>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68"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黑体" w:hAnsi="宋体" w:eastAsia="黑体" w:cs="黑体"/>
                <w:sz w:val="24"/>
                <w:szCs w:val="24"/>
              </w:rPr>
              <w:t>序号</w:t>
            </w:r>
          </w:p>
        </w:tc>
        <w:tc>
          <w:tcPr>
            <w:tcW w:w="1979" w:type="dxa"/>
            <w:gridSpan w:val="2"/>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公开事项</w:t>
            </w:r>
          </w:p>
        </w:tc>
        <w:tc>
          <w:tcPr>
            <w:tcW w:w="1831"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（要素）</w:t>
            </w:r>
          </w:p>
        </w:tc>
        <w:tc>
          <w:tcPr>
            <w:tcW w:w="2521"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公开依据</w:t>
            </w:r>
          </w:p>
        </w:tc>
        <w:tc>
          <w:tcPr>
            <w:tcW w:w="1132"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公开时限 </w:t>
            </w:r>
          </w:p>
        </w:tc>
        <w:tc>
          <w:tcPr>
            <w:tcW w:w="1173"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公开主体</w:t>
            </w:r>
          </w:p>
        </w:tc>
        <w:tc>
          <w:tcPr>
            <w:tcW w:w="1572" w:type="dxa"/>
            <w:vMerge w:val="restart"/>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公开渠道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和载体</w:t>
            </w:r>
          </w:p>
        </w:tc>
        <w:tc>
          <w:tcPr>
            <w:tcW w:w="1132" w:type="dxa"/>
            <w:gridSpan w:val="2"/>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公开对象</w:t>
            </w:r>
          </w:p>
        </w:tc>
        <w:tc>
          <w:tcPr>
            <w:tcW w:w="1295" w:type="dxa"/>
            <w:gridSpan w:val="2"/>
            <w:tcBorders>
              <w:top w:val="single" w:color="000000" w:sz="8" w:space="0"/>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公开方式</w:t>
            </w:r>
          </w:p>
        </w:tc>
        <w:tc>
          <w:tcPr>
            <w:tcW w:w="108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68"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81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一级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事项</w:t>
            </w:r>
          </w:p>
        </w:tc>
        <w:tc>
          <w:tcPr>
            <w:tcW w:w="1161"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二级事项</w:t>
            </w:r>
          </w:p>
        </w:tc>
        <w:tc>
          <w:tcPr>
            <w:tcW w:w="1831"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2521"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1132"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1173"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1572" w:type="dxa"/>
            <w:vMerge w:val="continue"/>
            <w:tcBorders>
              <w:top w:val="single" w:color="000000" w:sz="8" w:space="0"/>
              <w:left w:val="single" w:color="000000" w:sz="8" w:space="0"/>
              <w:bottom w:val="single" w:color="000000" w:sz="8" w:space="0"/>
              <w:right w:val="nil"/>
            </w:tcBorders>
            <w:shd w:val="clear" w:color="auto" w:fill="auto"/>
            <w:vAlign w:val="center"/>
          </w:tcPr>
          <w:p>
            <w:pPr>
              <w:rPr>
                <w:rFonts w:hint="eastAsia" w:ascii="宋体"/>
                <w:sz w:val="24"/>
                <w:szCs w:val="24"/>
              </w:rPr>
            </w:pPr>
          </w:p>
        </w:tc>
        <w:tc>
          <w:tcPr>
            <w:tcW w:w="433"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全社会</w:t>
            </w:r>
          </w:p>
        </w:tc>
        <w:tc>
          <w:tcPr>
            <w:tcW w:w="699"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特定群众</w:t>
            </w:r>
          </w:p>
        </w:tc>
        <w:tc>
          <w:tcPr>
            <w:tcW w:w="463"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主动公开</w:t>
            </w:r>
          </w:p>
        </w:tc>
        <w:tc>
          <w:tcPr>
            <w:tcW w:w="832"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依申请公开</w:t>
            </w:r>
          </w:p>
        </w:tc>
        <w:tc>
          <w:tcPr>
            <w:tcW w:w="477"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县级</w:t>
            </w:r>
          </w:p>
        </w:tc>
        <w:tc>
          <w:tcPr>
            <w:tcW w:w="605" w:type="dxa"/>
            <w:tcBorders>
              <w:top w:val="nil"/>
              <w:left w:val="single" w:color="000000" w:sz="8" w:space="0"/>
              <w:bottom w:val="single" w:color="000000" w:sz="8" w:space="0"/>
              <w:right w:val="single" w:color="000000" w:sz="8" w:space="0"/>
            </w:tcBorders>
            <w:shd w:val="clear" w:color="auto" w:fill="auto"/>
            <w:tcMar>
              <w:righ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24"/>
                <w:szCs w:val="24"/>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许可</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出版物零售单位和个体工商户设立、变更审批</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行政许可决定。</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《中华人民共和国行政许可法》；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《出版管理条例》；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《出版物市场管理规定》；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仿宋" w:cs="Calibri"/>
                <w:sz w:val="21"/>
                <w:szCs w:val="21"/>
                <w:lang w:eastAsia="zh-CN"/>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6"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24"/>
                <w:szCs w:val="24"/>
              </w:rPr>
              <w:t>2</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对非法从事印刷经营活动的行政处罚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处罚对象、案件名称、违法主要事实、处罚种类和内容、处罚依据、作出处罚决定部门、处罚时间、处罚结果、处罚决定书文号、处罚履行方式和期限等。</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《印刷业管理条例》；</w:t>
            </w:r>
            <w:r>
              <w:rPr>
                <w:rFonts w:hint="default" w:ascii="Times New Roman" w:hAnsi="Times New Roman" w:cs="Times New Roman"/>
                <w:sz w:val="21"/>
                <w:szCs w:val="21"/>
              </w:rPr>
              <w:t>2.</w:t>
            </w:r>
            <w:r>
              <w:rPr>
                <w:rFonts w:hint="eastAsia" w:ascii="仿宋" w:hAnsi="仿宋" w:eastAsia="仿宋" w:cs="仿宋"/>
                <w:sz w:val="21"/>
                <w:szCs w:val="21"/>
              </w:rPr>
              <w:t>《国务院关于促进市场公平竞争维护市场正常秩序的若干意见》；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《国务院办公厅关于全面推行行政执法公示制度执法全过程记录制度重大执法决定法制审核制度的指导意见》；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24"/>
                <w:szCs w:val="24"/>
              </w:rPr>
              <w:t>3</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对非法从事复制经营活动的行政处罚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处罚对象、案件名称、违法主要事实、处罚种类和内容、处罚依据、作出处罚决定部门、处罚时间、处罚结果、处罚决定书文号、处罚履行方式和期限等。</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《音像制品管理条例》；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《复制管理办法》；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《国务院关于促进市场公平竞争维护市场正常秩序的若干意见》；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《国务院办公厅关于全面推行行政执法公示制度执法全过程记录制度重大执法决定法制审核制度的指导意见》；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6.</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6"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24"/>
                <w:szCs w:val="24"/>
              </w:rPr>
              <w:t>4</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对非法编印内部资料性出版物行为的行政处罚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处罚对象、案件名称、违法主要事实、处罚种类及内容、处罚依据、作出处罚决定部门、处罚时间、处罚结果、处罚决定书文号、处罚履行方式和期限等。</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《印刷业管理条例》；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《内部资料性出版物管理办法》；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《国务院关于促进市场公平竞争维护市场正常秩序的若干意见》；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《国务院办公厅关于全面推行行政执法公示制度执法全过程记录制度重大执法决定法制审核制度的指导意见》；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6.</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6"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rPr>
              <w:t>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对非法从事出版物发行活动的行政处罚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处罚对象、案件名称、违法主要事实、处罚种类和内容、处罚依据、作出处罚决定部门、处罚时间、处罚结果、处罚决定书文号、处罚履行方式和期限等。</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《出版管理条例》；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《出版物市场管理规定》；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《国务院关于促进市场公平竞争维护市场正常秩序的若干意见》；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《国务院办公厅关于全面推行行政执法公示制度执法全过程记录制度重大执法决定法制审核制度的指导意见》；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6.</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rPr>
              <w:t>6</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对损害公共利益的有关著作权侵权行为作出行政处罚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处罚对象、案件名称、违法主要事实、处罚种类和内容、处罚依据、作出处罚决定部门、处罚时间、处罚结果、处罚决定书文号、处罚履行方式和期限等。</w:t>
            </w:r>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《中华人民共和国著作权法》；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《中华人民共和国著作权法实施条例》；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《计算机软件保护条例》；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4.</w:t>
            </w:r>
            <w:r>
              <w:rPr>
                <w:rFonts w:hint="eastAsia" w:ascii="仿宋" w:hAnsi="仿宋" w:eastAsia="仿宋" w:cs="仿宋"/>
                <w:sz w:val="21"/>
                <w:szCs w:val="21"/>
              </w:rPr>
              <w:t>《信息网络传播权保护条例》；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5.</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6.</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8" w:hRule="atLeast"/>
          <w:jc w:val="center"/>
        </w:trPr>
        <w:tc>
          <w:tcPr>
            <w:tcW w:w="668" w:type="dxa"/>
            <w:tcBorders>
              <w:top w:val="nil"/>
              <w:left w:val="single" w:color="000000" w:sz="8" w:space="0"/>
              <w:bottom w:val="single" w:color="000000" w:sz="8" w:space="0"/>
              <w:right w:val="nil"/>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rPr>
              <w:t>7</w:t>
            </w:r>
          </w:p>
        </w:tc>
        <w:tc>
          <w:tcPr>
            <w:tcW w:w="818"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行政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rPr>
              <w:t>处罚</w:t>
            </w:r>
          </w:p>
        </w:tc>
        <w:tc>
          <w:tcPr>
            <w:tcW w:w="116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对违反《信息网络传播权保护条例》的有关行为作出行政处罚</w:t>
            </w:r>
          </w:p>
        </w:tc>
        <w:tc>
          <w:tcPr>
            <w:tcW w:w="183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处罚对象、案件名称、违法主要事实、处罚种类和内容、处罚依据、作出处罚决定部门、处罚时间、处罚结果、处罚决定书文号、处罚履行方式和期限等。</w:t>
            </w:r>
            <w:bookmarkStart w:id="0" w:name="_GoBack"/>
            <w:bookmarkEnd w:id="0"/>
          </w:p>
        </w:tc>
        <w:tc>
          <w:tcPr>
            <w:tcW w:w="2521"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1.</w:t>
            </w:r>
            <w:r>
              <w:rPr>
                <w:rFonts w:hint="eastAsia" w:ascii="仿宋" w:hAnsi="仿宋" w:eastAsia="仿宋" w:cs="仿宋"/>
                <w:sz w:val="21"/>
                <w:szCs w:val="21"/>
              </w:rPr>
              <w:t>《信息网络传播权保护条例》；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2.</w:t>
            </w:r>
            <w:r>
              <w:rPr>
                <w:rFonts w:hint="eastAsia" w:ascii="仿宋" w:hAnsi="仿宋" w:eastAsia="仿宋" w:cs="仿宋"/>
                <w:sz w:val="21"/>
                <w:szCs w:val="21"/>
              </w:rPr>
              <w:t>《中华人民共和国政府信息公开条例》；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3.</w:t>
            </w:r>
            <w:r>
              <w:rPr>
                <w:rFonts w:hint="eastAsia" w:ascii="仿宋" w:hAnsi="仿宋" w:eastAsia="仿宋" w:cs="仿宋"/>
                <w:sz w:val="21"/>
                <w:szCs w:val="21"/>
              </w:rPr>
              <w:t>《关于全面推进政务公开工作的意见》。</w:t>
            </w:r>
          </w:p>
        </w:tc>
        <w:tc>
          <w:tcPr>
            <w:tcW w:w="11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1"/>
                <w:szCs w:val="21"/>
              </w:rPr>
              <w:t>执法决定信息在决定作出之日起</w:t>
            </w:r>
            <w:r>
              <w:rPr>
                <w:rFonts w:hint="default" w:ascii="Times New Roman" w:hAnsi="Times New Roman" w:cs="Times New Roman"/>
                <w:sz w:val="21"/>
                <w:szCs w:val="21"/>
              </w:rPr>
              <w:t>7</w:t>
            </w:r>
            <w:r>
              <w:rPr>
                <w:rFonts w:hint="eastAsia" w:ascii="仿宋" w:hAnsi="仿宋" w:eastAsia="仿宋" w:cs="仿宋"/>
                <w:sz w:val="21"/>
                <w:szCs w:val="21"/>
              </w:rPr>
              <w:t>个工作日内公开，其他相关信息形成或变更之日起</w:t>
            </w:r>
            <w:r>
              <w:rPr>
                <w:rFonts w:hint="default" w:ascii="Times New Roman" w:hAnsi="Times New Roman" w:cs="Times New Roman"/>
                <w:sz w:val="21"/>
                <w:szCs w:val="21"/>
              </w:rPr>
              <w:t>20</w:t>
            </w:r>
            <w:r>
              <w:rPr>
                <w:rFonts w:hint="eastAsia" w:ascii="仿宋" w:hAnsi="仿宋" w:eastAsia="仿宋" w:cs="仿宋"/>
                <w:sz w:val="21"/>
                <w:szCs w:val="21"/>
              </w:rPr>
              <w:t>个工作日内公开</w:t>
            </w:r>
          </w:p>
        </w:tc>
        <w:tc>
          <w:tcPr>
            <w:tcW w:w="117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1"/>
                <w:szCs w:val="21"/>
              </w:rPr>
            </w:pPr>
            <w:r>
              <w:rPr>
                <w:rFonts w:hint="eastAsia" w:ascii="仿宋" w:hAnsi="仿宋" w:eastAsia="仿宋" w:cs="仿宋"/>
                <w:sz w:val="21"/>
                <w:szCs w:val="21"/>
                <w:lang w:eastAsia="zh-CN"/>
              </w:rPr>
              <w:t>修武县新闻出版局</w:t>
            </w:r>
          </w:p>
        </w:tc>
        <w:tc>
          <w:tcPr>
            <w:tcW w:w="1572" w:type="dxa"/>
            <w:tcBorders>
              <w:top w:val="nil"/>
              <w:left w:val="single" w:color="000000" w:sz="8" w:space="0"/>
              <w:bottom w:val="single" w:color="000000" w:sz="8" w:space="0"/>
              <w:right w:val="nil"/>
            </w:tcBorders>
            <w:shd w:val="clear" w:color="auto" w:fill="auto"/>
            <w:tcMar>
              <w:left w:w="1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rPr>
              <w:t>1.政府网站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sz w:val="18"/>
                <w:szCs w:val="18"/>
                <w:shd w:val="clear" w:fill="FFFFFF"/>
              </w:rPr>
            </w:pPr>
            <w:r>
              <w:rPr>
                <w:rFonts w:hint="eastAsia" w:ascii="仿宋" w:hAnsi="仿宋" w:eastAsia="仿宋" w:cs="仿宋"/>
                <w:sz w:val="18"/>
                <w:szCs w:val="18"/>
                <w:shd w:val="clear" w:fill="FFFFFF"/>
                <w:lang w:val="en-US" w:eastAsia="zh-CN"/>
              </w:rPr>
              <w:t>2</w:t>
            </w:r>
            <w:r>
              <w:rPr>
                <w:rFonts w:hint="eastAsia" w:ascii="仿宋" w:hAnsi="仿宋" w:eastAsia="仿宋" w:cs="仿宋"/>
                <w:sz w:val="18"/>
                <w:szCs w:val="18"/>
                <w:shd w:val="clear" w:fill="FFFFFF"/>
              </w:rPr>
              <w:t>.政务服务中心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仿宋" w:hAnsi="仿宋" w:eastAsia="仿宋" w:cs="仿宋"/>
                <w:sz w:val="21"/>
                <w:szCs w:val="21"/>
              </w:rPr>
            </w:pPr>
          </w:p>
        </w:tc>
        <w:tc>
          <w:tcPr>
            <w:tcW w:w="43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99"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63"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832"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　</w:t>
            </w:r>
          </w:p>
        </w:tc>
        <w:tc>
          <w:tcPr>
            <w:tcW w:w="477" w:type="dxa"/>
            <w:tcBorders>
              <w:top w:val="nil"/>
              <w:left w:val="single" w:color="000000" w:sz="8" w:space="0"/>
              <w:bottom w:val="single" w:color="000000" w:sz="8" w:space="0"/>
              <w:right w:val="nil"/>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eastAsia" w:ascii="仿宋" w:hAnsi="仿宋" w:eastAsia="仿宋" w:cs="仿宋"/>
                <w:sz w:val="24"/>
                <w:szCs w:val="24"/>
              </w:rPr>
              <w:t>√</w:t>
            </w:r>
          </w:p>
        </w:tc>
        <w:tc>
          <w:tcPr>
            <w:tcW w:w="605" w:type="dxa"/>
            <w:tcBorders>
              <w:top w:val="nil"/>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sz w:val="21"/>
                <w:szCs w:val="21"/>
              </w:rPr>
            </w:pPr>
            <w:r>
              <w:rPr>
                <w:rFonts w:hint="default" w:ascii="Times New Roman" w:hAnsi="Times New Roman" w:cs="Times New Roman"/>
                <w:sz w:val="19"/>
                <w:szCs w:val="19"/>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lang w:val="en-US" w:eastAsia="zh-CN"/>
        </w:rPr>
      </w:pPr>
    </w:p>
    <w:sectPr>
      <w:footerReference r:id="rId3" w:type="default"/>
      <w:pgSz w:w="16838" w:h="11906" w:orient="landscape"/>
      <w:pgMar w:top="1587" w:right="2098" w:bottom="1474" w:left="1984" w:header="851" w:footer="172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923290" cy="230505"/>
              <wp:effectExtent l="0" t="0" r="0" b="0"/>
              <wp:wrapNone/>
              <wp:docPr id="1" name="文本框2"/>
              <wp:cNvGraphicFramePr/>
              <a:graphic xmlns:a="http://schemas.openxmlformats.org/drawingml/2006/main">
                <a:graphicData uri="http://schemas.microsoft.com/office/word/2010/wordprocessingShape">
                  <wps:wsp>
                    <wps:cNvSpPr/>
                    <wps:spPr>
                      <a:xfrm>
                        <a:off x="0" y="0"/>
                        <a:ext cx="923290" cy="230505"/>
                      </a:xfrm>
                      <a:prstGeom prst="rect">
                        <a:avLst/>
                      </a:prstGeom>
                      <a:noFill/>
                      <a:ln>
                        <a:noFill/>
                      </a:ln>
                    </wps:spPr>
                    <wps:txbx>
                      <w:txbxContent>
                        <w:p>
                          <w:pPr>
                            <w:widowControl w:val="0"/>
                            <w:wordWrap/>
                            <w:adjustRightInd/>
                            <w:snapToGrid w:val="0"/>
                            <w:spacing w:before="0" w:after="0" w:line="240" w:lineRule="auto"/>
                            <w:ind w:left="0" w:leftChars="0" w:right="0" w:firstLine="280" w:firstLineChars="10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sz w:val="18"/>
                              <w:lang w:val="en-US" w:eastAsia="zh-CN"/>
                            </w:rPr>
                            <w:t xml:space="preserve"> </w:t>
                          </w:r>
                        </w:p>
                      </w:txbxContent>
                    </wps:txbx>
                    <wps:bodyPr lIns="0" tIns="0" rIns="0" bIns="0" upright="1"/>
                  </wps:wsp>
                </a:graphicData>
              </a:graphic>
            </wp:anchor>
          </w:drawing>
        </mc:Choice>
        <mc:Fallback>
          <w:pict>
            <v:rect id="文本框2" o:spid="_x0000_s1026" o:spt="1" style="position:absolute;left:0pt;margin-top:0.2pt;height:18.15pt;width:72.7pt;mso-position-horizontal:outside;mso-position-horizontal-relative:margin;z-index:251659264;mso-width-relative:page;mso-height-relative:page;" filled="f" stroked="f" coordsize="21600,21600" o:gfxdata="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IvsajnWAAAABAEAAA8AAAAAAAAAAQAgAAAAOAAAAGRycy9kb3du&#10;cmV2LnhtbFBLAQIUABQAAAAIAIdO4kCHS7kHsgEAAGYDAAAOAAAAAAAAAAEAIAAAADsBAABkcnMv&#10;ZTJvRG9jLnhtbFBLBQYAAAAABgAGAFkBAABfBQAAAAA=&#10;">
              <v:fill on="f" focussize="0,0"/>
              <v:stroke on="f"/>
              <v:imagedata o:title=""/>
              <o:lock v:ext="edit" aspectratio="f"/>
              <v:textbox inset="0mm,0mm,0mm,0mm">
                <w:txbxContent>
                  <w:p>
                    <w:pPr>
                      <w:widowControl w:val="0"/>
                      <w:wordWrap/>
                      <w:adjustRightInd/>
                      <w:snapToGrid w:val="0"/>
                      <w:spacing w:before="0" w:after="0" w:line="240" w:lineRule="auto"/>
                      <w:ind w:left="0" w:leftChars="0" w:right="0" w:firstLine="280" w:firstLineChars="10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sz w:val="1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jRiZjI2Y2E3NGNmNzg0MjdjYTNmZTUwMTFlOWQifQ=="/>
  </w:docVars>
  <w:rsids>
    <w:rsidRoot w:val="00000000"/>
    <w:rsid w:val="041522CD"/>
    <w:rsid w:val="13D63A87"/>
    <w:rsid w:val="14121E67"/>
    <w:rsid w:val="1C121CD2"/>
    <w:rsid w:val="1FC009DE"/>
    <w:rsid w:val="1FCC62C3"/>
    <w:rsid w:val="2E6B27D8"/>
    <w:rsid w:val="3BFB405F"/>
    <w:rsid w:val="3D05505D"/>
    <w:rsid w:val="48083AE1"/>
    <w:rsid w:val="4824174D"/>
    <w:rsid w:val="5F10007E"/>
    <w:rsid w:val="68D1086D"/>
    <w:rsid w:val="6F2DB33C"/>
    <w:rsid w:val="77683639"/>
    <w:rsid w:val="77FF29E0"/>
    <w:rsid w:val="7B897830"/>
    <w:rsid w:val="8BD6000F"/>
    <w:rsid w:val="AFDF21B0"/>
    <w:rsid w:val="B2AFC5A8"/>
    <w:rsid w:val="FFFB52F8"/>
    <w:rsid w:val="FFFF3F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仿宋" w:hAnsi="仿宋" w:eastAsia="仿宋_GB2312" w:cs="仿宋"/>
      <w:kern w:val="0"/>
      <w:lang w:eastAsia="en-US"/>
    </w:rPr>
  </w:style>
  <w:style w:type="paragraph" w:customStyle="1" w:styleId="3">
    <w:name w:val="Body Text 21"/>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5">
    <w:name w:val="Normal Indent"/>
    <w:basedOn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rPr>
      <w:rFonts w:cs="Times New Roman"/>
    </w:rPr>
  </w:style>
  <w:style w:type="paragraph" w:customStyle="1" w:styleId="13">
    <w:name w:val="Body Text Indent1"/>
    <w:basedOn w:val="1"/>
    <w:qFormat/>
    <w:uiPriority w:val="0"/>
    <w:pPr>
      <w:ind w:firstLine="560"/>
    </w:pPr>
    <w:rPr>
      <w:rFonts w:hint="eastAsia" w:ascii="楷体_GB2312" w:eastAsia="楷体_GB2312"/>
      <w:sz w:val="32"/>
    </w:rPr>
  </w:style>
  <w:style w:type="paragraph" w:customStyle="1" w:styleId="14">
    <w:name w:val="Body Text First Indent 21"/>
    <w:basedOn w:val="13"/>
    <w:qFormat/>
    <w:uiPriority w:val="0"/>
    <w:pPr>
      <w:ind w:firstLine="420" w:firstLineChars="200"/>
    </w:pPr>
    <w:rPr>
      <w:rFonts w:ascii="Calibri" w:hAnsi="Calibri" w:eastAsia="宋体" w:cs="Times New Roman"/>
      <w:sz w:val="24"/>
    </w:rPr>
  </w:style>
  <w:style w:type="paragraph" w:customStyle="1" w:styleId="15">
    <w:name w:val="Body Text First Indent"/>
    <w:basedOn w:val="2"/>
    <w:next w:val="14"/>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2848</Words>
  <Characters>2928</Characters>
  <Lines>0</Lines>
  <Paragraphs>0</Paragraphs>
  <TotalTime>6</TotalTime>
  <ScaleCrop>false</ScaleCrop>
  <LinksUpToDate>false</LinksUpToDate>
  <CharactersWithSpaces>2928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2020-06-14T11:48:00Z</dcterms:created>
  <dc:creator>Administrator</dc:creator>
  <cp:lastModifiedBy>YoungJ</cp:lastModifiedBy>
  <cp:lastPrinted>2024-02-20T09:02:14Z</cp:lastPrinted>
  <dcterms:modified xsi:type="dcterms:W3CDTF">2024-02-20T09:13:53Z</dcterms:modified>
  <dc:title>修武县人民政府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3513C5E8E5615D8AF521D365C8C862FB</vt:lpwstr>
  </property>
</Properties>
</file>