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777" w:tblpY="33"/>
        <w:tblOverlap w:val="never"/>
        <w:tblW w:w="8402" w:type="dxa"/>
        <w:tblInd w:w="0" w:type="dxa"/>
        <w:shd w:val="clear" w:color="auto" w:fill="auto"/>
        <w:tblLayout w:type="fixed"/>
        <w:tblCellMar>
          <w:top w:w="0" w:type="dxa"/>
          <w:left w:w="0" w:type="dxa"/>
          <w:bottom w:w="0" w:type="dxa"/>
          <w:right w:w="0" w:type="dxa"/>
        </w:tblCellMar>
      </w:tblPr>
      <w:tblGrid>
        <w:gridCol w:w="4568"/>
        <w:gridCol w:w="3834"/>
      </w:tblGrid>
      <w:tr>
        <w:tblPrEx>
          <w:shd w:val="clear" w:color="auto" w:fill="auto"/>
          <w:tblLayout w:type="fixed"/>
          <w:tblCellMar>
            <w:top w:w="0" w:type="dxa"/>
            <w:left w:w="0" w:type="dxa"/>
            <w:bottom w:w="0" w:type="dxa"/>
            <w:right w:w="0" w:type="dxa"/>
          </w:tblCellMar>
        </w:tblPrEx>
        <w:trPr>
          <w:trHeight w:val="569" w:hRule="atLeast"/>
        </w:trPr>
        <w:tc>
          <w:tcPr>
            <w:tcW w:w="8402"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000000"/>
                <w:kern w:val="0"/>
                <w:sz w:val="44"/>
                <w:szCs w:val="44"/>
                <w:u w:val="none"/>
                <w:lang w:val="en-US" w:eastAsia="zh-CN" w:bidi="ar"/>
              </w:rPr>
            </w:pPr>
            <w:r>
              <w:rPr>
                <w:rFonts w:hint="eastAsia" w:asciiTheme="majorEastAsia" w:hAnsiTheme="majorEastAsia" w:eastAsiaTheme="majorEastAsia" w:cstheme="majorEastAsia"/>
                <w:b w:val="0"/>
                <w:bCs/>
                <w:i w:val="0"/>
                <w:color w:val="000000"/>
                <w:kern w:val="0"/>
                <w:sz w:val="44"/>
                <w:szCs w:val="44"/>
                <w:u w:val="none"/>
                <w:lang w:val="en-US" w:eastAsia="zh-CN" w:bidi="ar"/>
              </w:rPr>
              <w:t>2024年一般公共预算“三公”经费</w:t>
            </w:r>
          </w:p>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Theme="majorEastAsia" w:hAnsiTheme="majorEastAsia" w:eastAsiaTheme="majorEastAsia" w:cstheme="majorEastAsia"/>
                <w:b w:val="0"/>
                <w:bCs/>
                <w:i w:val="0"/>
                <w:color w:val="000000"/>
                <w:kern w:val="0"/>
                <w:sz w:val="44"/>
                <w:szCs w:val="44"/>
                <w:u w:val="none"/>
                <w:lang w:val="en-US" w:eastAsia="zh-CN" w:bidi="ar"/>
              </w:rPr>
              <w:t>支出情况表</w:t>
            </w:r>
          </w:p>
        </w:tc>
      </w:tr>
      <w:tr>
        <w:tblPrEx>
          <w:tblLayout w:type="fixed"/>
          <w:tblCellMar>
            <w:top w:w="0" w:type="dxa"/>
            <w:left w:w="0" w:type="dxa"/>
            <w:bottom w:w="0" w:type="dxa"/>
            <w:right w:w="0" w:type="dxa"/>
          </w:tblCellMar>
        </w:tblPrEx>
        <w:trPr>
          <w:trHeight w:val="286" w:hRule="atLeast"/>
        </w:trPr>
        <w:tc>
          <w:tcPr>
            <w:tcW w:w="8402"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单位：万元</w:t>
            </w:r>
          </w:p>
        </w:tc>
      </w:tr>
      <w:tr>
        <w:tblPrEx>
          <w:tblLayout w:type="fixed"/>
          <w:tblCellMar>
            <w:top w:w="0" w:type="dxa"/>
            <w:left w:w="0" w:type="dxa"/>
            <w:bottom w:w="0" w:type="dxa"/>
            <w:right w:w="0" w:type="dxa"/>
          </w:tblCellMar>
        </w:tblPrEx>
        <w:trPr>
          <w:trHeight w:val="569" w:hRule="atLeast"/>
        </w:trPr>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项      目</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2024年“三公”经费预算数</w:t>
            </w:r>
          </w:p>
        </w:tc>
      </w:tr>
      <w:tr>
        <w:tblPrEx>
          <w:tblLayout w:type="fixed"/>
          <w:tblCellMar>
            <w:top w:w="0" w:type="dxa"/>
            <w:left w:w="0" w:type="dxa"/>
            <w:bottom w:w="0" w:type="dxa"/>
            <w:right w:w="0" w:type="dxa"/>
          </w:tblCellMar>
        </w:tblPrEx>
        <w:trPr>
          <w:trHeight w:val="569" w:hRule="atLeast"/>
        </w:trPr>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共计</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263.35</w:t>
            </w:r>
          </w:p>
        </w:tc>
      </w:tr>
      <w:tr>
        <w:tblPrEx>
          <w:tblLayout w:type="fixed"/>
          <w:tblCellMar>
            <w:top w:w="0" w:type="dxa"/>
            <w:left w:w="0" w:type="dxa"/>
            <w:bottom w:w="0" w:type="dxa"/>
            <w:right w:w="0" w:type="dxa"/>
          </w:tblCellMar>
        </w:tblPrEx>
        <w:trPr>
          <w:trHeight w:val="569" w:hRule="atLeast"/>
        </w:trPr>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1、因公出国（境）费用</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0.00</w:t>
            </w:r>
          </w:p>
        </w:tc>
      </w:tr>
      <w:tr>
        <w:tblPrEx>
          <w:tblLayout w:type="fixed"/>
          <w:tblCellMar>
            <w:top w:w="0" w:type="dxa"/>
            <w:left w:w="0" w:type="dxa"/>
            <w:bottom w:w="0" w:type="dxa"/>
            <w:right w:w="0" w:type="dxa"/>
          </w:tblCellMar>
        </w:tblPrEx>
        <w:trPr>
          <w:trHeight w:val="569" w:hRule="atLeast"/>
        </w:trPr>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2、公务接待费</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18.95</w:t>
            </w:r>
          </w:p>
        </w:tc>
      </w:tr>
      <w:tr>
        <w:tblPrEx>
          <w:tblLayout w:type="fixed"/>
          <w:tblCellMar>
            <w:top w:w="0" w:type="dxa"/>
            <w:left w:w="0" w:type="dxa"/>
            <w:bottom w:w="0" w:type="dxa"/>
            <w:right w:w="0" w:type="dxa"/>
          </w:tblCellMar>
        </w:tblPrEx>
        <w:trPr>
          <w:trHeight w:val="569" w:hRule="atLeast"/>
        </w:trPr>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3、公务用车费</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244.4</w:t>
            </w:r>
          </w:p>
        </w:tc>
      </w:tr>
      <w:tr>
        <w:tblPrEx>
          <w:tblLayout w:type="fixed"/>
          <w:tblCellMar>
            <w:top w:w="0" w:type="dxa"/>
            <w:left w:w="0" w:type="dxa"/>
            <w:bottom w:w="0" w:type="dxa"/>
            <w:right w:w="0" w:type="dxa"/>
          </w:tblCellMar>
        </w:tblPrEx>
        <w:trPr>
          <w:trHeight w:val="569" w:hRule="atLeast"/>
        </w:trPr>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其中：（1）公务用车运行维护费</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仿宋_GB2312" w:hAnsi="仿宋_GB2312" w:eastAsia="仿宋_GB2312" w:cs="仿宋_GB2312"/>
                <w:i w:val="0"/>
                <w:color w:val="000000"/>
                <w:sz w:val="32"/>
                <w:szCs w:val="32"/>
                <w:u w:val="none"/>
                <w:lang w:val="en-US"/>
              </w:rPr>
            </w:pPr>
            <w:r>
              <w:rPr>
                <w:rFonts w:hint="eastAsia" w:ascii="仿宋_GB2312" w:hAnsi="仿宋_GB2312" w:eastAsia="仿宋_GB2312" w:cs="仿宋_GB2312"/>
                <w:i w:val="0"/>
                <w:color w:val="000000"/>
                <w:kern w:val="0"/>
                <w:sz w:val="32"/>
                <w:szCs w:val="32"/>
                <w:u w:val="none"/>
                <w:lang w:val="en-US" w:eastAsia="zh-CN" w:bidi="ar"/>
              </w:rPr>
              <w:t>244.4</w:t>
            </w:r>
          </w:p>
        </w:tc>
      </w:tr>
      <w:tr>
        <w:tblPrEx>
          <w:tblLayout w:type="fixed"/>
          <w:tblCellMar>
            <w:top w:w="0" w:type="dxa"/>
            <w:left w:w="0" w:type="dxa"/>
            <w:bottom w:w="0" w:type="dxa"/>
            <w:right w:w="0" w:type="dxa"/>
          </w:tblCellMar>
        </w:tblPrEx>
        <w:trPr>
          <w:trHeight w:val="569" w:hRule="atLeast"/>
        </w:trPr>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（2）公务用车购置费</w:t>
            </w:r>
          </w:p>
        </w:tc>
        <w:tc>
          <w:tcPr>
            <w:tcW w:w="3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bCs/>
          <w:i w:val="0"/>
          <w:caps w:val="0"/>
          <w:color w:val="auto"/>
          <w:spacing w:val="0"/>
          <w:sz w:val="44"/>
          <w:szCs w:val="44"/>
          <w:shd w:val="clear" w:fill="FFFFFF"/>
        </w:rPr>
      </w:pPr>
      <w:r>
        <w:rPr>
          <w:rFonts w:hint="eastAsia" w:asciiTheme="majorEastAsia" w:hAnsiTheme="majorEastAsia" w:eastAsiaTheme="majorEastAsia" w:cstheme="majorEastAsia"/>
          <w:b w:val="0"/>
          <w:bCs w:val="0"/>
          <w:i w:val="0"/>
          <w:caps w:val="0"/>
          <w:color w:val="auto"/>
          <w:spacing w:val="0"/>
          <w:sz w:val="44"/>
          <w:szCs w:val="44"/>
          <w:shd w:val="clear" w:fill="FFFFFF"/>
          <w:lang w:eastAsia="zh-CN"/>
        </w:rPr>
        <w:t>关于</w:t>
      </w:r>
      <w:r>
        <w:rPr>
          <w:rFonts w:hint="eastAsia" w:asciiTheme="majorEastAsia" w:hAnsiTheme="majorEastAsia" w:eastAsiaTheme="majorEastAsia" w:cstheme="majorEastAsia"/>
          <w:b w:val="0"/>
          <w:bCs w:val="0"/>
          <w:i w:val="0"/>
          <w:caps w:val="0"/>
          <w:color w:val="auto"/>
          <w:spacing w:val="0"/>
          <w:sz w:val="44"/>
          <w:szCs w:val="44"/>
          <w:shd w:val="clear" w:fill="FFFFFF"/>
        </w:rPr>
        <w:t>20</w:t>
      </w:r>
      <w:r>
        <w:rPr>
          <w:rFonts w:hint="eastAsia" w:asciiTheme="majorEastAsia" w:hAnsiTheme="majorEastAsia" w:eastAsiaTheme="majorEastAsia" w:cstheme="majorEastAsia"/>
          <w:b w:val="0"/>
          <w:bCs w:val="0"/>
          <w:i w:val="0"/>
          <w:caps w:val="0"/>
          <w:color w:val="auto"/>
          <w:spacing w:val="0"/>
          <w:sz w:val="44"/>
          <w:szCs w:val="44"/>
          <w:shd w:val="clear" w:fill="FFFFFF"/>
          <w:lang w:val="en-US" w:eastAsia="zh-CN"/>
        </w:rPr>
        <w:t>24</w:t>
      </w:r>
      <w:r>
        <w:rPr>
          <w:rFonts w:hint="eastAsia" w:asciiTheme="majorEastAsia" w:hAnsiTheme="majorEastAsia" w:eastAsiaTheme="majorEastAsia" w:cstheme="majorEastAsia"/>
          <w:b w:val="0"/>
          <w:bCs w:val="0"/>
          <w:i w:val="0"/>
          <w:caps w:val="0"/>
          <w:color w:val="auto"/>
          <w:spacing w:val="0"/>
          <w:sz w:val="44"/>
          <w:szCs w:val="44"/>
          <w:shd w:val="clear" w:fill="FFFFFF"/>
        </w:rPr>
        <w:t>年修武县</w:t>
      </w:r>
      <w:r>
        <w:rPr>
          <w:rFonts w:hint="eastAsia" w:asciiTheme="majorEastAsia" w:hAnsiTheme="majorEastAsia" w:eastAsiaTheme="majorEastAsia" w:cstheme="majorEastAsia"/>
          <w:b w:val="0"/>
          <w:bCs w:val="0"/>
          <w:i w:val="0"/>
          <w:caps w:val="0"/>
          <w:color w:val="auto"/>
          <w:spacing w:val="0"/>
          <w:sz w:val="44"/>
          <w:szCs w:val="44"/>
          <w:shd w:val="clear" w:fill="FFFFFF"/>
          <w:lang w:eastAsia="zh-CN"/>
        </w:rPr>
        <w:t>一般公共预算</w:t>
      </w:r>
      <w:r>
        <w:rPr>
          <w:rFonts w:hint="eastAsia" w:asciiTheme="majorEastAsia" w:hAnsiTheme="majorEastAsia" w:eastAsiaTheme="majorEastAsia" w:cstheme="majorEastAsia"/>
          <w:b w:val="0"/>
          <w:bCs w:val="0"/>
          <w:i w:val="0"/>
          <w:caps w:val="0"/>
          <w:color w:val="auto"/>
          <w:spacing w:val="0"/>
          <w:sz w:val="44"/>
          <w:szCs w:val="44"/>
          <w:shd w:val="clear" w:fill="FFFFFF"/>
        </w:rPr>
        <w:t>“三公”经费</w:t>
      </w:r>
      <w:r>
        <w:rPr>
          <w:rFonts w:hint="eastAsia" w:asciiTheme="majorEastAsia" w:hAnsiTheme="majorEastAsia" w:eastAsiaTheme="majorEastAsia" w:cstheme="majorEastAsia"/>
          <w:b w:val="0"/>
          <w:bCs w:val="0"/>
          <w:i w:val="0"/>
          <w:caps w:val="0"/>
          <w:color w:val="auto"/>
          <w:spacing w:val="0"/>
          <w:sz w:val="44"/>
          <w:szCs w:val="44"/>
          <w:shd w:val="clear" w:fill="FFFFFF"/>
          <w:lang w:eastAsia="zh-CN"/>
        </w:rPr>
        <w:t>支出</w:t>
      </w:r>
      <w:r>
        <w:rPr>
          <w:rFonts w:hint="eastAsia" w:asciiTheme="majorEastAsia" w:hAnsiTheme="majorEastAsia" w:eastAsiaTheme="majorEastAsia" w:cstheme="majorEastAsia"/>
          <w:b w:val="0"/>
          <w:bCs w:val="0"/>
          <w:i w:val="0"/>
          <w:caps w:val="0"/>
          <w:color w:val="auto"/>
          <w:spacing w:val="0"/>
          <w:sz w:val="44"/>
          <w:szCs w:val="44"/>
          <w:shd w:val="clear" w:fill="FFFFFF"/>
        </w:rPr>
        <w:t>预算</w:t>
      </w:r>
      <w:r>
        <w:rPr>
          <w:rFonts w:hint="eastAsia" w:asciiTheme="majorEastAsia" w:hAnsiTheme="majorEastAsia" w:eastAsiaTheme="majorEastAsia" w:cstheme="majorEastAsia"/>
          <w:b w:val="0"/>
          <w:bCs w:val="0"/>
          <w:i w:val="0"/>
          <w:caps w:val="0"/>
          <w:color w:val="auto"/>
          <w:spacing w:val="0"/>
          <w:sz w:val="44"/>
          <w:szCs w:val="44"/>
          <w:shd w:val="clear" w:fill="FFFFFF"/>
          <w:lang w:eastAsia="zh-CN"/>
        </w:rPr>
        <w:t>的</w:t>
      </w:r>
      <w:r>
        <w:rPr>
          <w:rFonts w:hint="eastAsia" w:asciiTheme="majorEastAsia" w:hAnsiTheme="majorEastAsia" w:eastAsiaTheme="majorEastAsia" w:cstheme="majorEastAsia"/>
          <w:b w:val="0"/>
          <w:bCs w:val="0"/>
          <w:i w:val="0"/>
          <w:caps w:val="0"/>
          <w:color w:val="auto"/>
          <w:spacing w:val="0"/>
          <w:sz w:val="44"/>
          <w:szCs w:val="44"/>
          <w:shd w:val="clear" w:fill="FFFFFF"/>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0"/>
        <w:rPr>
          <w:rFonts w:hint="eastAsia" w:ascii="仿宋_GB2312" w:hAnsi="仿宋_GB2312" w:eastAsia="仿宋_GB2312" w:cs="仿宋_GB2312"/>
          <w:color w:val="000000"/>
          <w:spacing w:val="-1"/>
          <w:kern w:val="0"/>
          <w:sz w:val="32"/>
          <w:szCs w:val="32"/>
          <w:lang w:val="en-US" w:eastAsia="zh-CN"/>
        </w:rPr>
      </w:pPr>
      <w:r>
        <w:rPr>
          <w:rFonts w:hint="eastAsia" w:ascii="仿宋_GB2312" w:hAnsi="仿宋_GB2312" w:eastAsia="仿宋_GB2312" w:cs="仿宋_GB2312"/>
          <w:color w:val="000000"/>
          <w:sz w:val="32"/>
          <w:szCs w:val="32"/>
          <w:lang w:eastAsia="zh-CN"/>
        </w:rPr>
        <w:t>全县</w:t>
      </w:r>
      <w:r>
        <w:rPr>
          <w:rFonts w:hint="eastAsia" w:ascii="仿宋_GB2312" w:hAnsi="仿宋_GB2312" w:eastAsia="仿宋_GB2312" w:cs="仿宋_GB2312"/>
          <w:color w:val="000000"/>
          <w:sz w:val="32"/>
          <w:szCs w:val="32"/>
        </w:rPr>
        <w:t> 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一般公共预算安排</w:t>
      </w:r>
      <w:r>
        <w:rPr>
          <w:rFonts w:hint="eastAsia" w:ascii="仿宋_GB2312" w:hAnsi="仿宋_GB2312" w:eastAsia="仿宋_GB2312" w:cs="仿宋_GB2312"/>
          <w:color w:val="000000"/>
          <w:sz w:val="32"/>
          <w:szCs w:val="32"/>
        </w:rPr>
        <w:t>“三公”经费支出预算为</w:t>
      </w:r>
      <w:r>
        <w:rPr>
          <w:rFonts w:hint="eastAsia" w:ascii="仿宋_GB2312" w:hAnsi="仿宋_GB2312" w:eastAsia="仿宋_GB2312" w:cs="仿宋_GB2312"/>
          <w:color w:val="000000"/>
          <w:sz w:val="32"/>
          <w:szCs w:val="32"/>
          <w:lang w:val="en-US" w:eastAsia="zh-CN"/>
        </w:rPr>
        <w:t>263.35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比上年</w:t>
      </w:r>
      <w:r>
        <w:rPr>
          <w:rFonts w:hint="eastAsia" w:ascii="仿宋_GB2312" w:hAnsi="仿宋_GB2312" w:eastAsia="仿宋_GB2312" w:cs="仿宋_GB2312"/>
          <w:color w:val="000000"/>
          <w:sz w:val="32"/>
          <w:szCs w:val="32"/>
        </w:rPr>
        <w:t>减少</w:t>
      </w:r>
      <w:r>
        <w:rPr>
          <w:rFonts w:hint="eastAsia" w:ascii="仿宋_GB2312" w:hAnsi="仿宋_GB2312" w:eastAsia="仿宋_GB2312" w:cs="仿宋_GB2312"/>
          <w:color w:val="000000"/>
          <w:sz w:val="32"/>
          <w:szCs w:val="32"/>
          <w:lang w:val="en-US" w:eastAsia="zh-CN"/>
        </w:rPr>
        <w:t>131.55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33.3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auto"/>
          <w:spacing w:val="-1"/>
          <w:kern w:val="0"/>
          <w:sz w:val="32"/>
          <w:szCs w:val="32"/>
        </w:rPr>
        <w:t>因公出国（境）费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，与上年持平；</w:t>
      </w:r>
      <w:r>
        <w:rPr>
          <w:rFonts w:hint="eastAsia" w:ascii="仿宋_GB2312" w:hAnsi="仿宋_GB2312" w:eastAsia="仿宋_GB2312" w:cs="仿宋_GB2312"/>
          <w:color w:val="000000"/>
          <w:spacing w:val="-1"/>
          <w:kern w:val="0"/>
          <w:sz w:val="32"/>
          <w:szCs w:val="32"/>
        </w:rPr>
        <w:t>公务接待费</w:t>
      </w:r>
      <w:r>
        <w:rPr>
          <w:rFonts w:hint="eastAsia" w:ascii="仿宋_GB2312" w:hAnsi="仿宋_GB2312" w:eastAsia="仿宋_GB2312" w:cs="仿宋_GB2312"/>
          <w:color w:val="000000"/>
          <w:kern w:val="0"/>
          <w:sz w:val="32"/>
          <w:szCs w:val="32"/>
          <w:lang w:val="en-US" w:eastAsia="zh-CN"/>
        </w:rPr>
        <w:t>18.95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比上年减少</w:t>
      </w:r>
      <w:r>
        <w:rPr>
          <w:rFonts w:hint="eastAsia" w:ascii="仿宋_GB2312" w:hAnsi="仿宋_GB2312" w:eastAsia="仿宋_GB2312" w:cs="仿宋_GB2312"/>
          <w:color w:val="000000"/>
          <w:kern w:val="0"/>
          <w:sz w:val="32"/>
          <w:szCs w:val="32"/>
          <w:lang w:val="en-US" w:eastAsia="zh-CN"/>
        </w:rPr>
        <w:t>36.1万元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244.4万元，比上年减少95.45万元；</w:t>
      </w:r>
      <w:r>
        <w:rPr>
          <w:rFonts w:hint="eastAsia" w:ascii="仿宋_GB2312" w:hAnsi="仿宋_GB2312" w:eastAsia="仿宋_GB2312" w:cs="仿宋_GB2312"/>
          <w:color w:val="000000"/>
          <w:spacing w:val="-1"/>
          <w:kern w:val="0"/>
          <w:sz w:val="32"/>
          <w:szCs w:val="32"/>
        </w:rPr>
        <w:t>公务用车购置及运行费</w:t>
      </w:r>
      <w:r>
        <w:rPr>
          <w:rFonts w:hint="eastAsia" w:ascii="仿宋_GB2312" w:hAnsi="仿宋_GB2312" w:eastAsia="仿宋_GB2312" w:cs="仿宋_GB2312"/>
          <w:color w:val="000000"/>
          <w:spacing w:val="-1"/>
          <w:kern w:val="0"/>
          <w:sz w:val="32"/>
          <w:szCs w:val="32"/>
          <w:lang w:val="en-US" w:eastAsia="zh-CN"/>
        </w:rPr>
        <w:t>0万元，与上年持平。</w:t>
      </w:r>
    </w:p>
    <w:p>
      <w:pPr>
        <w:pStyle w:val="2"/>
        <w:keepNext w:val="0"/>
        <w:keepLines w:val="0"/>
        <w:pageBreakBefore w:val="0"/>
        <w:widowControl w:val="0"/>
        <w:kinsoku/>
        <w:wordWrap/>
        <w:overflowPunct/>
        <w:topLinePunct w:val="0"/>
        <w:autoSpaceDE/>
        <w:autoSpaceDN/>
        <w:bidi w:val="0"/>
        <w:adjustRightInd/>
        <w:snapToGrid/>
        <w:spacing w:line="576"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1"/>
          <w:kern w:val="0"/>
          <w:sz w:val="32"/>
          <w:szCs w:val="32"/>
          <w:lang w:val="en-US" w:eastAsia="zh-CN"/>
        </w:rPr>
        <w:t>公务接待费、公务用车运行维护费下降的主要原因是县级各部门按照上级关于厉行节约要求，进一步压减一般性支出，严控“三公”经费。</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val="0"/>
          <w:bCs w:val="0"/>
          <w:i w:val="0"/>
          <w:caps w:val="0"/>
          <w:color w:val="auto"/>
          <w:spacing w:val="0"/>
          <w:sz w:val="44"/>
          <w:szCs w:val="44"/>
          <w:shd w:val="clear" w:fill="FFFFFF"/>
          <w:lang w:eastAsia="zh-CN"/>
        </w:rPr>
      </w:pPr>
      <w:r>
        <w:rPr>
          <w:rFonts w:hint="eastAsia" w:asciiTheme="majorEastAsia" w:hAnsiTheme="majorEastAsia" w:eastAsiaTheme="majorEastAsia" w:cstheme="majorEastAsia"/>
          <w:b w:val="0"/>
          <w:bCs w:val="0"/>
          <w:i w:val="0"/>
          <w:caps w:val="0"/>
          <w:color w:val="auto"/>
          <w:spacing w:val="0"/>
          <w:sz w:val="44"/>
          <w:szCs w:val="44"/>
          <w:shd w:val="clear" w:fill="FFFFFF"/>
          <w:lang w:eastAsia="zh-CN"/>
        </w:rPr>
        <w:t>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bCs/>
          <w:i w:val="0"/>
          <w:caps w:val="0"/>
          <w:color w:val="auto"/>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一般公共预算</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政府性基金预算</w:t>
      </w:r>
      <w:r>
        <w:rPr>
          <w:rFonts w:hint="eastAsia" w:ascii="仿宋_GB2312" w:hAnsi="仿宋_GB2312" w:eastAsia="仿宋_GB2312" w:cs="仿宋_GB2312"/>
          <w:color w:val="000000" w:themeColor="text1"/>
          <w:sz w:val="32"/>
          <w:szCs w:val="32"/>
          <w14:textFill>
            <w14:solidFill>
              <w14:schemeClr w14:val="tx1"/>
            </w14:solidFill>
          </w14:textFill>
        </w:rPr>
        <w:t>：是对依照法律、行政法规的规定在一定期限内向特定对象征收、收取或者以其他方式筹集的资金，专项用于特定公共事业发展的收支预算。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社会保险基金预算</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是对社会保险缴款、一般公共预算安排和其他方式筹集的资金，专项用于社会保险的收支预算。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 w:hAnsi="楷体" w:eastAsia="楷体" w:cs="楷体"/>
          <w:b/>
          <w:bCs/>
          <w:color w:val="000000" w:themeColor="text1"/>
          <w:sz w:val="32"/>
          <w:szCs w:val="32"/>
          <w:lang w:val="zh-CN"/>
          <w14:textFill>
            <w14:solidFill>
              <w14:schemeClr w14:val="tx1"/>
            </w14:solidFill>
          </w14:textFill>
        </w:rPr>
        <w:t>政府债务限额</w:t>
      </w:r>
      <w:r>
        <w:rPr>
          <w:rFonts w:hint="eastAsia" w:ascii="楷体" w:hAnsi="楷体" w:eastAsia="楷体" w:cs="楷体"/>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由国务院根据国家宏观经济形势等因素确定，报全国人民代表大会批准，各省、自治区、直辖市政府债务限额由各地根据债务风险、财力状况等因素，并统筹考虑国家宏观调控政策，报国务院批准后下达各省级财政部门，省级财政部门报经省政府、省人大批准。市县政府债务限额由省政府下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楷体" w:hAnsi="楷体" w:eastAsia="楷体" w:cs="楷体"/>
          <w:b/>
          <w:bCs/>
          <w:color w:val="000000" w:themeColor="text1"/>
          <w:sz w:val="32"/>
          <w:szCs w:val="32"/>
          <w:lang w:val="zh-CN"/>
          <w14:textFill>
            <w14:solidFill>
              <w14:schemeClr w14:val="tx1"/>
            </w14:solidFill>
          </w14:textFill>
        </w:rPr>
        <w:t>专项债券</w:t>
      </w:r>
      <w:r>
        <w:rPr>
          <w:rFonts w:hint="eastAsia" w:ascii="楷体" w:hAnsi="楷体" w:eastAsia="楷体" w:cs="楷体"/>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专项债券是省、自治区、直辖市政府为有一定收益的公益性项目发行的、约定一定期限内以公益性项目对应的政府性基金或专项收入还本付息的政府债券。</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财政直达资金：</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贯彻落实党中央、国务院关于建立特殊转移支付机制的决策部署，财政部将部分资金直接下拨市县基层、直接惠企利民，预算单独下达、资金单独调拨，点对点将资金拨付到最终收款人，并建立直达资金监控系统，监控资金支出进度和流向，确保资金落实到位，规范使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zh-CN"/>
          <w14:textFill>
            <w14:solidFill>
              <w14:schemeClr w14:val="tx1"/>
            </w14:solidFill>
          </w14:textFill>
        </w:rPr>
        <w:t>“三保”支出</w:t>
      </w:r>
      <w:r>
        <w:rPr>
          <w:rFonts w:hint="eastAsia" w:ascii="楷体" w:hAnsi="楷体" w:eastAsia="楷体"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是指保基本民生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保工资、保运转。</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zh-CN"/>
          <w14:textFill>
            <w14:solidFill>
              <w14:schemeClr w14:val="tx1"/>
            </w14:solidFill>
          </w14:textFill>
        </w:rPr>
        <w:t>综合治税</w:t>
      </w:r>
      <w:r>
        <w:rPr>
          <w:rFonts w:hint="eastAsia" w:ascii="楷体" w:hAnsi="楷体" w:eastAsia="楷体" w:cs="楷体"/>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在政府的统一组织、协调、指导下，以强化税源控管为核心，以营造法治、公平、有序的税收环境为目标，以涉税信息网络平台的构建为载体，逐步建立起以“政府领导、财政牵头、税务主管、部门配合、司法保障、社会参与”为主要内容的社会综合治税体系。我县自2014年全面推行社会综合治税工作以来，通过整合涉税信息资源，构建税收共治格局，有效弥补了税收征管中信息不对称的短板，营造了法治、公平、有序的税收环境。</w:t>
      </w:r>
    </w:p>
    <w:p>
      <w:pPr>
        <w:pStyle w:val="4"/>
        <w:numPr>
          <w:ilvl w:val="0"/>
          <w:numId w:val="0"/>
        </w:numPr>
        <w:spacing w:before="156"/>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caps w:val="0"/>
          <w:color w:val="auto"/>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3241"/>
    <w:multiLevelType w:val="multilevel"/>
    <w:tmpl w:val="29A13241"/>
    <w:lvl w:ilvl="0" w:tentative="0">
      <w:start w:val="1"/>
      <w:numFmt w:val="chineseCountingThousand"/>
      <w:pStyle w:val="4"/>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6860"/>
    <w:rsid w:val="00E9550C"/>
    <w:rsid w:val="011A7ED4"/>
    <w:rsid w:val="0172550D"/>
    <w:rsid w:val="01795BD9"/>
    <w:rsid w:val="01870FF8"/>
    <w:rsid w:val="035F53BA"/>
    <w:rsid w:val="03B41C5C"/>
    <w:rsid w:val="03DF7413"/>
    <w:rsid w:val="048C73F3"/>
    <w:rsid w:val="04DA251C"/>
    <w:rsid w:val="05822634"/>
    <w:rsid w:val="05B51FC3"/>
    <w:rsid w:val="06A16D13"/>
    <w:rsid w:val="07870D3D"/>
    <w:rsid w:val="07D775E9"/>
    <w:rsid w:val="083D31A9"/>
    <w:rsid w:val="0862458E"/>
    <w:rsid w:val="087E3931"/>
    <w:rsid w:val="096A56AB"/>
    <w:rsid w:val="0A001A90"/>
    <w:rsid w:val="0A71748B"/>
    <w:rsid w:val="0AB65595"/>
    <w:rsid w:val="0B0007F5"/>
    <w:rsid w:val="0B3B525E"/>
    <w:rsid w:val="0B5E7BEB"/>
    <w:rsid w:val="0C0E54D5"/>
    <w:rsid w:val="0C761D49"/>
    <w:rsid w:val="0D097DB6"/>
    <w:rsid w:val="0D265548"/>
    <w:rsid w:val="0D4A2C4B"/>
    <w:rsid w:val="0E13398F"/>
    <w:rsid w:val="0E774CC1"/>
    <w:rsid w:val="0E9A2B64"/>
    <w:rsid w:val="0F703346"/>
    <w:rsid w:val="0F713742"/>
    <w:rsid w:val="0F7C542C"/>
    <w:rsid w:val="0FAD505B"/>
    <w:rsid w:val="11472869"/>
    <w:rsid w:val="11491AE9"/>
    <w:rsid w:val="115F7642"/>
    <w:rsid w:val="122F0A07"/>
    <w:rsid w:val="13DC57E5"/>
    <w:rsid w:val="141E77AB"/>
    <w:rsid w:val="15606C18"/>
    <w:rsid w:val="17A42D42"/>
    <w:rsid w:val="17F41B2D"/>
    <w:rsid w:val="19DB118B"/>
    <w:rsid w:val="1A472028"/>
    <w:rsid w:val="1A5E79E8"/>
    <w:rsid w:val="1A796519"/>
    <w:rsid w:val="1AA54B8C"/>
    <w:rsid w:val="1B0F10D7"/>
    <w:rsid w:val="1C145E89"/>
    <w:rsid w:val="1C2F77CE"/>
    <w:rsid w:val="1C392926"/>
    <w:rsid w:val="1D296BCA"/>
    <w:rsid w:val="1E7347F5"/>
    <w:rsid w:val="1FC45AFF"/>
    <w:rsid w:val="20FF0AE4"/>
    <w:rsid w:val="211D4CA6"/>
    <w:rsid w:val="22846A17"/>
    <w:rsid w:val="24BA79C7"/>
    <w:rsid w:val="24E714AB"/>
    <w:rsid w:val="25145991"/>
    <w:rsid w:val="264D44C4"/>
    <w:rsid w:val="26654A24"/>
    <w:rsid w:val="276C761B"/>
    <w:rsid w:val="27F0741E"/>
    <w:rsid w:val="28340968"/>
    <w:rsid w:val="293F0ED0"/>
    <w:rsid w:val="29474279"/>
    <w:rsid w:val="29A45BE5"/>
    <w:rsid w:val="29BC65C0"/>
    <w:rsid w:val="2A6A4218"/>
    <w:rsid w:val="2AA91975"/>
    <w:rsid w:val="2C6F5968"/>
    <w:rsid w:val="2D3F3C5B"/>
    <w:rsid w:val="2D963D4D"/>
    <w:rsid w:val="2E540571"/>
    <w:rsid w:val="2E7B6ADC"/>
    <w:rsid w:val="2EA73DC0"/>
    <w:rsid w:val="2FD077BD"/>
    <w:rsid w:val="2FF113B8"/>
    <w:rsid w:val="3016562F"/>
    <w:rsid w:val="30E32431"/>
    <w:rsid w:val="31140011"/>
    <w:rsid w:val="31F23983"/>
    <w:rsid w:val="32007EA2"/>
    <w:rsid w:val="32833590"/>
    <w:rsid w:val="32C8401D"/>
    <w:rsid w:val="331428B6"/>
    <w:rsid w:val="331C65C8"/>
    <w:rsid w:val="33E60769"/>
    <w:rsid w:val="346003CC"/>
    <w:rsid w:val="34DC76C4"/>
    <w:rsid w:val="351A48B4"/>
    <w:rsid w:val="364D3E2F"/>
    <w:rsid w:val="376F2BD0"/>
    <w:rsid w:val="38AE7883"/>
    <w:rsid w:val="3A497F50"/>
    <w:rsid w:val="3A745D1C"/>
    <w:rsid w:val="3BAF7DD5"/>
    <w:rsid w:val="3C0836C2"/>
    <w:rsid w:val="3C2D772C"/>
    <w:rsid w:val="3CC87664"/>
    <w:rsid w:val="3CE60FCB"/>
    <w:rsid w:val="3D434E2A"/>
    <w:rsid w:val="3D8D0602"/>
    <w:rsid w:val="3DB532DB"/>
    <w:rsid w:val="3DFA31BF"/>
    <w:rsid w:val="3ED97956"/>
    <w:rsid w:val="3EF502FC"/>
    <w:rsid w:val="3F387567"/>
    <w:rsid w:val="41C743A4"/>
    <w:rsid w:val="431163E8"/>
    <w:rsid w:val="43672D8C"/>
    <w:rsid w:val="444233F1"/>
    <w:rsid w:val="44DE5176"/>
    <w:rsid w:val="45D30141"/>
    <w:rsid w:val="45FB41F7"/>
    <w:rsid w:val="46603817"/>
    <w:rsid w:val="468C0CCC"/>
    <w:rsid w:val="46DF263F"/>
    <w:rsid w:val="47A03FBA"/>
    <w:rsid w:val="47FA13F0"/>
    <w:rsid w:val="480E30D6"/>
    <w:rsid w:val="480F1C53"/>
    <w:rsid w:val="483B792C"/>
    <w:rsid w:val="48F640DE"/>
    <w:rsid w:val="4A42558F"/>
    <w:rsid w:val="4AC31A4C"/>
    <w:rsid w:val="4B056C04"/>
    <w:rsid w:val="4B4D59E1"/>
    <w:rsid w:val="4C04680C"/>
    <w:rsid w:val="4C203674"/>
    <w:rsid w:val="4C2E09F0"/>
    <w:rsid w:val="4C41664D"/>
    <w:rsid w:val="4CA954C6"/>
    <w:rsid w:val="4CF97404"/>
    <w:rsid w:val="4D6F2DCD"/>
    <w:rsid w:val="4EF54E83"/>
    <w:rsid w:val="501344BE"/>
    <w:rsid w:val="509E5872"/>
    <w:rsid w:val="50DE603C"/>
    <w:rsid w:val="5267758F"/>
    <w:rsid w:val="534C3EE3"/>
    <w:rsid w:val="536D6F89"/>
    <w:rsid w:val="53740108"/>
    <w:rsid w:val="53797ED4"/>
    <w:rsid w:val="54232C8A"/>
    <w:rsid w:val="55581C1D"/>
    <w:rsid w:val="556A12B1"/>
    <w:rsid w:val="557D12E9"/>
    <w:rsid w:val="56905B7B"/>
    <w:rsid w:val="56A42735"/>
    <w:rsid w:val="576530AF"/>
    <w:rsid w:val="57685D9C"/>
    <w:rsid w:val="57885359"/>
    <w:rsid w:val="593438FA"/>
    <w:rsid w:val="5A7A4FFF"/>
    <w:rsid w:val="5A920E86"/>
    <w:rsid w:val="5B583776"/>
    <w:rsid w:val="5BF82CFE"/>
    <w:rsid w:val="5D28560C"/>
    <w:rsid w:val="5D3A6FC8"/>
    <w:rsid w:val="5D777F9D"/>
    <w:rsid w:val="5DF12E8F"/>
    <w:rsid w:val="5F195C70"/>
    <w:rsid w:val="60043F93"/>
    <w:rsid w:val="603264D2"/>
    <w:rsid w:val="61A8161C"/>
    <w:rsid w:val="62036002"/>
    <w:rsid w:val="62153183"/>
    <w:rsid w:val="622E6F99"/>
    <w:rsid w:val="62CE69C3"/>
    <w:rsid w:val="62D56A3B"/>
    <w:rsid w:val="63094D36"/>
    <w:rsid w:val="648E39F1"/>
    <w:rsid w:val="65022840"/>
    <w:rsid w:val="657D10A8"/>
    <w:rsid w:val="65A37DB9"/>
    <w:rsid w:val="66D64367"/>
    <w:rsid w:val="6748173B"/>
    <w:rsid w:val="67583BB4"/>
    <w:rsid w:val="67601328"/>
    <w:rsid w:val="67ED462C"/>
    <w:rsid w:val="69602578"/>
    <w:rsid w:val="69C35401"/>
    <w:rsid w:val="6A7004D4"/>
    <w:rsid w:val="6AD61D10"/>
    <w:rsid w:val="6B8604A3"/>
    <w:rsid w:val="6B930796"/>
    <w:rsid w:val="6BF14358"/>
    <w:rsid w:val="6C0A4379"/>
    <w:rsid w:val="6C4E2771"/>
    <w:rsid w:val="6C6079DB"/>
    <w:rsid w:val="6D037374"/>
    <w:rsid w:val="6DB02FDE"/>
    <w:rsid w:val="6E114DAF"/>
    <w:rsid w:val="6E15101B"/>
    <w:rsid w:val="6FE669DB"/>
    <w:rsid w:val="70997557"/>
    <w:rsid w:val="70A9565D"/>
    <w:rsid w:val="71733D55"/>
    <w:rsid w:val="71F65C4F"/>
    <w:rsid w:val="723D118F"/>
    <w:rsid w:val="72904F92"/>
    <w:rsid w:val="72E143C2"/>
    <w:rsid w:val="731A30A3"/>
    <w:rsid w:val="73BB58E7"/>
    <w:rsid w:val="73F3376D"/>
    <w:rsid w:val="74264866"/>
    <w:rsid w:val="742A173A"/>
    <w:rsid w:val="74ED2CE3"/>
    <w:rsid w:val="75BF451D"/>
    <w:rsid w:val="769557DB"/>
    <w:rsid w:val="76FF530B"/>
    <w:rsid w:val="77B82A17"/>
    <w:rsid w:val="781C79BD"/>
    <w:rsid w:val="786C11C4"/>
    <w:rsid w:val="7873153B"/>
    <w:rsid w:val="7888417A"/>
    <w:rsid w:val="789A27E3"/>
    <w:rsid w:val="79813555"/>
    <w:rsid w:val="7A2C5D8E"/>
    <w:rsid w:val="7A321629"/>
    <w:rsid w:val="7D2D46BD"/>
    <w:rsid w:val="7D3F0102"/>
    <w:rsid w:val="7DF73653"/>
    <w:rsid w:val="7E6C777E"/>
    <w:rsid w:val="7F403568"/>
    <w:rsid w:val="7F7B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customStyle="1" w:styleId="3">
    <w:name w:val="Default"/>
    <w:qFormat/>
    <w:uiPriority w:val="99"/>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paragraph" w:styleId="4">
    <w:name w:val="Body Text 2"/>
    <w:basedOn w:val="1"/>
    <w:qFormat/>
    <w:uiPriority w:val="0"/>
    <w:pPr>
      <w:widowControl/>
      <w:numPr>
        <w:ilvl w:val="0"/>
        <w:numId w:val="1"/>
      </w:numPr>
      <w:spacing w:beforeLines="50" w:line="336" w:lineRule="auto"/>
      <w:ind w:left="0" w:firstLine="0"/>
    </w:pPr>
    <w:rPr>
      <w:rFonts w:eastAsia="仿宋_GB2312" w:cs="仿宋"/>
      <w:kern w:val="0"/>
      <w:szCs w:val="20"/>
      <w:lang w:eastAsia="en-U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2023-05-06T02:12:00Z</cp:lastPrinted>
  <dcterms:modified xsi:type="dcterms:W3CDTF">2024-03-19T09:27:31Z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