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F6825">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方正小标宋简体" w:hAnsi="方正小标宋简体" w:eastAsia="方正小标宋简体" w:cs="方正小标宋简体"/>
          <w:bCs/>
          <w:color w:val="000000" w:themeColor="text1"/>
          <w:kern w:val="0"/>
          <w:sz w:val="44"/>
          <w:szCs w:val="44"/>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shd w:val="clear" w:color="auto" w:fill="FFFFFF"/>
          <w:lang w:val="en-US" w:eastAsia="zh-CN" w:bidi="ar"/>
          <w14:textFill>
            <w14:solidFill>
              <w14:schemeClr w14:val="tx1"/>
            </w14:solidFill>
          </w14:textFill>
        </w:rPr>
        <w:t>修武县第五次全国经济普查公报（第五号）</w:t>
      </w:r>
    </w:p>
    <w:p w14:paraId="25C2850F">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方正小标宋简体" w:hAnsi="方正小标宋简体" w:eastAsia="方正小标宋简体" w:cs="方正小标宋简体"/>
          <w:bCs/>
          <w:color w:val="000000" w:themeColor="text1"/>
          <w:kern w:val="0"/>
          <w:sz w:val="44"/>
          <w:szCs w:val="44"/>
          <w:shd w:val="clear" w:color="auto" w:fill="FFFFFF"/>
          <w:lang w:val="en-US" w:eastAsia="zh-CN" w:bidi="ar"/>
          <w14:textFill>
            <w14:solidFill>
              <w14:schemeClr w14:val="tx1"/>
            </w14:solidFill>
          </w14:textFill>
        </w:rPr>
      </w:pPr>
      <w:r>
        <w:rPr>
          <w:rFonts w:hint="eastAsia" w:ascii="楷体_GB2312" w:hAnsi="楷体_GB2312" w:eastAsia="楷体_GB2312" w:cs="楷体_GB2312"/>
          <w:bCs/>
          <w:color w:val="000000" w:themeColor="text1"/>
          <w:kern w:val="0"/>
          <w:sz w:val="32"/>
          <w:szCs w:val="32"/>
          <w:shd w:val="clear" w:color="auto" w:fill="FFFFFF"/>
          <w:lang w:val="en-US" w:eastAsia="zh-CN" w:bidi="ar"/>
          <w14:textFill>
            <w14:solidFill>
              <w14:schemeClr w14:val="tx1"/>
            </w14:solidFill>
          </w14:textFill>
        </w:rPr>
        <w:t>——第三产业基本情况之二</w:t>
      </w:r>
    </w:p>
    <w:p w14:paraId="0A92BCFD">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pPr>
    </w:p>
    <w:p w14:paraId="169331EB">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outlineLvl w:val="0"/>
        <w:rPr>
          <w:rFonts w:hint="eastAsia" w:ascii="楷体" w:hAnsi="楷体" w:eastAsia="楷体" w:cs="楷体"/>
          <w:color w:val="000000" w:themeColor="text1"/>
          <w:kern w:val="2"/>
          <w:sz w:val="32"/>
          <w:szCs w:val="32"/>
          <w:lang w:val="en-US" w:eastAsia="zh-CN" w:bidi="ar-SA"/>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修武县统计局</w:t>
      </w:r>
    </w:p>
    <w:p w14:paraId="5E0B34E2">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outlineLvl w:val="0"/>
        <w:rPr>
          <w:rFonts w:hint="eastAsia" w:ascii="楷体" w:hAnsi="楷体" w:eastAsia="楷体" w:cs="楷体"/>
          <w:color w:val="000000" w:themeColor="text1"/>
          <w:kern w:val="2"/>
          <w:sz w:val="32"/>
          <w:szCs w:val="32"/>
          <w:lang w:val="en-US" w:eastAsia="zh-CN" w:bidi="ar-SA"/>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修武县第五次全国经济普查领导小组办公室</w:t>
      </w:r>
    </w:p>
    <w:p w14:paraId="2506780E">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outlineLvl w:val="0"/>
        <w:rPr>
          <w:rFonts w:hint="default" w:ascii="楷体" w:hAnsi="楷体" w:eastAsia="楷体" w:cs="楷体"/>
          <w:color w:val="000000" w:themeColor="text1"/>
          <w:kern w:val="2"/>
          <w:sz w:val="32"/>
          <w:szCs w:val="32"/>
          <w:lang w:val="en-US" w:eastAsia="zh-CN" w:bidi="ar-SA"/>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w:t>
      </w:r>
      <w:r>
        <w:rPr>
          <w:rFonts w:hint="default" w:ascii="楷体" w:hAnsi="楷体" w:eastAsia="楷体" w:cs="楷体"/>
          <w:color w:val="000000" w:themeColor="text1"/>
          <w:kern w:val="2"/>
          <w:sz w:val="32"/>
          <w:szCs w:val="32"/>
          <w:lang w:val="en-US" w:eastAsia="zh-CN" w:bidi="ar-SA"/>
          <w14:textFill>
            <w14:solidFill>
              <w14:schemeClr w14:val="tx1"/>
            </w14:solidFill>
          </w14:textFill>
        </w:rPr>
        <w:t>2024年</w:t>
      </w:r>
      <w:r>
        <w:rPr>
          <w:rFonts w:hint="eastAsia" w:ascii="楷体" w:hAnsi="楷体" w:eastAsia="楷体" w:cs="楷体"/>
          <w:color w:val="000000" w:themeColor="text1"/>
          <w:kern w:val="2"/>
          <w:sz w:val="32"/>
          <w:szCs w:val="32"/>
          <w:lang w:val="en-US" w:eastAsia="zh-CN" w:bidi="ar-SA"/>
          <w14:textFill>
            <w14:solidFill>
              <w14:schemeClr w14:val="tx1"/>
            </w14:solidFill>
          </w14:textFill>
        </w:rPr>
        <w:t>7</w:t>
      </w:r>
      <w:r>
        <w:rPr>
          <w:rFonts w:hint="default" w:ascii="楷体" w:hAnsi="楷体" w:eastAsia="楷体" w:cs="楷体"/>
          <w:color w:val="000000" w:themeColor="text1"/>
          <w:kern w:val="2"/>
          <w:sz w:val="32"/>
          <w:szCs w:val="32"/>
          <w:lang w:val="en-US" w:eastAsia="zh-CN" w:bidi="ar-SA"/>
          <w14:textFill>
            <w14:solidFill>
              <w14:schemeClr w14:val="tx1"/>
            </w14:solidFill>
          </w14:textFill>
        </w:rPr>
        <w:t>月</w:t>
      </w:r>
      <w:r>
        <w:rPr>
          <w:rFonts w:hint="eastAsia" w:ascii="楷体" w:hAnsi="楷体" w:eastAsia="楷体" w:cs="楷体"/>
          <w:color w:val="000000" w:themeColor="text1"/>
          <w:kern w:val="2"/>
          <w:sz w:val="32"/>
          <w:szCs w:val="32"/>
          <w:lang w:val="en-US" w:eastAsia="zh-CN" w:bidi="ar-SA"/>
          <w14:textFill>
            <w14:solidFill>
              <w14:schemeClr w14:val="tx1"/>
            </w14:solidFill>
          </w14:textFill>
        </w:rPr>
        <w:t>30</w:t>
      </w:r>
      <w:bookmarkStart w:id="1" w:name="_GoBack"/>
      <w:bookmarkEnd w:id="1"/>
      <w:r>
        <w:rPr>
          <w:rFonts w:hint="default" w:ascii="楷体" w:hAnsi="楷体" w:eastAsia="楷体" w:cs="楷体"/>
          <w:color w:val="000000" w:themeColor="text1"/>
          <w:kern w:val="2"/>
          <w:sz w:val="32"/>
          <w:szCs w:val="32"/>
          <w:lang w:val="en-US" w:eastAsia="zh-CN" w:bidi="ar-SA"/>
          <w14:textFill>
            <w14:solidFill>
              <w14:schemeClr w14:val="tx1"/>
            </w14:solidFill>
          </w14:textFill>
        </w:rPr>
        <w:t>日</w:t>
      </w:r>
      <w:r>
        <w:rPr>
          <w:rFonts w:hint="eastAsia" w:ascii="楷体" w:hAnsi="楷体" w:eastAsia="楷体" w:cs="楷体"/>
          <w:color w:val="000000" w:themeColor="text1"/>
          <w:kern w:val="2"/>
          <w:sz w:val="32"/>
          <w:szCs w:val="32"/>
          <w:lang w:val="en-US" w:eastAsia="zh-CN" w:bidi="ar-SA"/>
          <w14:textFill>
            <w14:solidFill>
              <w14:schemeClr w14:val="tx1"/>
            </w14:solidFill>
          </w14:textFill>
        </w:rPr>
        <w:t>）</w:t>
      </w:r>
    </w:p>
    <w:p w14:paraId="2321DE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eastAsia" w:ascii="Times New Roman" w:hAnsi="Times New Roman" w:cs="Times New Roman"/>
          <w:color w:val="000000" w:themeColor="text1"/>
          <w:kern w:val="2"/>
          <w:sz w:val="36"/>
          <w:szCs w:val="36"/>
          <w:u w:val="none"/>
          <w:lang w:val="en-US" w:eastAsia="zh-CN" w:bidi="ar-SA"/>
          <w14:textFill>
            <w14:solidFill>
              <w14:schemeClr w14:val="tx1"/>
            </w14:solidFill>
          </w14:textFill>
        </w:rPr>
      </w:pPr>
    </w:p>
    <w:p w14:paraId="348D72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Times New Roman" w:hAnsi="Times New Roman" w:eastAsia="方正仿宋_GBK" w:cs="Times New Roman"/>
          <w:color w:val="000000" w:themeColor="text1"/>
          <w:spacing w:val="-6"/>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根据修武县第五次全国经济普查结果，现将我县第三产业中科学研究和技术服务业，水利、环境和公共设施管理业，居民服务、修理和其他服务业，教育，卫生和社会工作，文化、体育和娱乐业，公共管理、社会保障和社会组织的主要数据公布如下：</w:t>
      </w:r>
    </w:p>
    <w:p w14:paraId="2346A8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16" w:firstLineChars="200"/>
        <w:jc w:val="both"/>
        <w:textAlignment w:val="auto"/>
        <w:outlineLvl w:val="1"/>
        <w:rPr>
          <w:rFonts w:hint="eastAsia" w:ascii="黑体" w:hAnsi="黑体" w:eastAsia="黑体" w:cs="黑体"/>
          <w:color w:val="000000" w:themeColor="text1"/>
          <w:spacing w:val="-6"/>
          <w:kern w:val="2"/>
          <w:sz w:val="32"/>
          <w:szCs w:val="32"/>
          <w:u w:val="none"/>
          <w:lang w:val="en-US" w:eastAsia="zh-CN" w:bidi="ar-SA"/>
          <w14:textFill>
            <w14:solidFill>
              <w14:schemeClr w14:val="tx1"/>
            </w14:solidFill>
          </w14:textFill>
        </w:rPr>
      </w:pPr>
      <w:r>
        <w:rPr>
          <w:rFonts w:hint="eastAsia" w:ascii="黑体" w:hAnsi="黑体" w:eastAsia="黑体" w:cs="黑体"/>
          <w:color w:val="000000" w:themeColor="text1"/>
          <w:spacing w:val="-6"/>
          <w:kern w:val="2"/>
          <w:sz w:val="32"/>
          <w:szCs w:val="32"/>
          <w:u w:val="none"/>
          <w:lang w:val="en-US" w:eastAsia="zh-CN" w:bidi="ar-SA"/>
          <w14:textFill>
            <w14:solidFill>
              <w14:schemeClr w14:val="tx1"/>
            </w14:solidFill>
          </w14:textFill>
        </w:rPr>
        <w:t>一、科学研究和技术服务业</w:t>
      </w:r>
    </w:p>
    <w:p w14:paraId="12AABD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19" w:firstLineChars="200"/>
        <w:jc w:val="both"/>
        <w:textAlignment w:val="auto"/>
        <w:outlineLvl w:val="2"/>
        <w:rPr>
          <w:rFonts w:hint="eastAsia" w:ascii="楷体_GB2312" w:hAnsi="楷体_GB2312" w:eastAsia="楷体_GB2312" w:cs="楷体_GB2312"/>
          <w:b/>
          <w:bCs/>
          <w:color w:val="000000" w:themeColor="text1"/>
          <w:spacing w:val="-6"/>
          <w:kern w:val="2"/>
          <w:sz w:val="32"/>
          <w:szCs w:val="32"/>
          <w:u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pacing w:val="-6"/>
          <w:kern w:val="2"/>
          <w:sz w:val="32"/>
          <w:szCs w:val="32"/>
          <w:u w:val="none"/>
          <w:lang w:val="en-US" w:eastAsia="zh-CN" w:bidi="ar-SA"/>
          <w14:textFill>
            <w14:solidFill>
              <w14:schemeClr w14:val="tx1"/>
            </w14:solidFill>
          </w14:textFill>
        </w:rPr>
        <w:t>（一）法人单位数和从业人员</w:t>
      </w:r>
    </w:p>
    <w:p w14:paraId="51CF31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2023年末，全县共有科学研究和技术服务业法人单位99个，从业人员365人。其中，企业法人单位97个，从业人员354人（详见表5-1）。</w:t>
      </w:r>
    </w:p>
    <w:p w14:paraId="4C1DDE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themeColor="text1"/>
          <w:spacing w:val="0"/>
          <w:kern w:val="0"/>
          <w:sz w:val="24"/>
          <w:szCs w:val="24"/>
          <w:highlight w:val="none"/>
          <w:lang w:val="en-US" w:eastAsia="zh-CN" w:bidi="ar"/>
          <w14:textFill>
            <w14:solidFill>
              <w14:schemeClr w14:val="tx1"/>
            </w14:solidFill>
          </w14:textFill>
        </w:rPr>
      </w:pPr>
      <w:r>
        <w:rPr>
          <w:rFonts w:hint="eastAsia" w:ascii="Times New Roman" w:hAnsi="Times New Roman" w:eastAsia="宋体" w:cs="宋体"/>
          <w:b/>
          <w:i w:val="0"/>
          <w:caps w:val="0"/>
          <w:color w:val="000000" w:themeColor="text1"/>
          <w:spacing w:val="0"/>
          <w:kern w:val="0"/>
          <w:sz w:val="24"/>
          <w:szCs w:val="24"/>
          <w:highlight w:val="none"/>
          <w:lang w:val="en-US" w:eastAsia="zh-CN" w:bidi="ar"/>
          <w14:textFill>
            <w14:solidFill>
              <w14:schemeClr w14:val="tx1"/>
            </w14:solidFill>
          </w14:textFill>
        </w:rPr>
        <w:t>表5-1　按行业大类分组的科学研究和技术服务业</w:t>
      </w:r>
    </w:p>
    <w:p w14:paraId="1CAC03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themeColor="text1"/>
          <w:spacing w:val="0"/>
          <w:kern w:val="0"/>
          <w:sz w:val="28"/>
          <w:szCs w:val="28"/>
          <w:highlight w:val="none"/>
          <w:lang w:val="en-US" w:eastAsia="zh-CN" w:bidi="ar"/>
          <w14:textFill>
            <w14:solidFill>
              <w14:schemeClr w14:val="tx1"/>
            </w14:solidFill>
          </w14:textFill>
        </w:rPr>
      </w:pPr>
      <w:r>
        <w:rPr>
          <w:rFonts w:hint="eastAsia" w:ascii="Times New Roman" w:hAnsi="Times New Roman" w:eastAsia="宋体" w:cs="宋体"/>
          <w:b/>
          <w:i w:val="0"/>
          <w:caps w:val="0"/>
          <w:color w:val="000000" w:themeColor="text1"/>
          <w:spacing w:val="0"/>
          <w:kern w:val="0"/>
          <w:sz w:val="24"/>
          <w:szCs w:val="24"/>
          <w:highlight w:val="none"/>
          <w:lang w:val="en-US" w:eastAsia="zh-CN" w:bidi="ar"/>
          <w14:textFill>
            <w14:solidFill>
              <w14:schemeClr w14:val="tx1"/>
            </w14:solidFill>
          </w14:textFill>
        </w:rPr>
        <w:t>企业法人单位数和从业人员</w:t>
      </w:r>
    </w:p>
    <w:tbl>
      <w:tblPr>
        <w:tblStyle w:val="9"/>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2886"/>
        <w:gridCol w:w="2964"/>
        <w:gridCol w:w="2456"/>
      </w:tblGrid>
      <w:tr w14:paraId="27D9B7A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057" w:type="dxa"/>
            <w:tcBorders>
              <w:top w:val="single" w:color="auto" w:sz="12" w:space="0"/>
              <w:left w:val="nil"/>
              <w:bottom w:val="single" w:color="auto" w:sz="4" w:space="0"/>
              <w:right w:val="single" w:color="auto" w:sz="4" w:space="0"/>
            </w:tcBorders>
            <w:noWrap w:val="0"/>
            <w:vAlign w:val="center"/>
          </w:tcPr>
          <w:p w14:paraId="2B726D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p>
        </w:tc>
        <w:tc>
          <w:tcPr>
            <w:tcW w:w="3108" w:type="dxa"/>
            <w:tcBorders>
              <w:top w:val="single" w:color="auto" w:sz="12" w:space="0"/>
              <w:left w:val="single" w:color="auto" w:sz="4" w:space="0"/>
              <w:bottom w:val="single" w:color="auto" w:sz="4" w:space="0"/>
              <w:right w:val="single" w:color="auto" w:sz="4" w:space="0"/>
            </w:tcBorders>
            <w:noWrap w:val="0"/>
            <w:vAlign w:val="center"/>
          </w:tcPr>
          <w:p w14:paraId="6AD598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宋体"/>
                <w:b/>
                <w:bCs/>
                <w:color w:val="000000" w:themeColor="text1"/>
                <w:kern w:val="0"/>
                <w:sz w:val="21"/>
                <w:szCs w:val="21"/>
                <w:highlight w:val="none"/>
                <w:lang w:val="en-US" w:eastAsia="zh-CN" w:bidi="ar"/>
                <w14:textFill>
                  <w14:solidFill>
                    <w14:schemeClr w14:val="tx1"/>
                  </w14:solidFill>
                </w14:textFill>
              </w:rPr>
              <w:t>企业法人单位</w:t>
            </w:r>
          </w:p>
          <w:p w14:paraId="470406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themeColor="text1"/>
                <w:sz w:val="21"/>
                <w:szCs w:val="21"/>
                <w:highlight w:val="none"/>
                <w14:textFill>
                  <w14:solidFill>
                    <w14:schemeClr w14:val="tx1"/>
                  </w14:solidFill>
                </w14:textFill>
              </w:rPr>
            </w:pPr>
            <w:r>
              <w:rPr>
                <w:rFonts w:hint="eastAsia" w:ascii="Times New Roman" w:hAnsi="Times New Roman" w:eastAsia="宋体" w:cs="宋体"/>
                <w:b/>
                <w:bCs/>
                <w:color w:val="000000" w:themeColor="text1"/>
                <w:kern w:val="0"/>
                <w:sz w:val="21"/>
                <w:szCs w:val="21"/>
                <w:highlight w:val="none"/>
                <w:lang w:val="en-US" w:eastAsia="zh-CN" w:bidi="ar"/>
                <w14:textFill>
                  <w14:solidFill>
                    <w14:schemeClr w14:val="tx1"/>
                  </w14:solidFill>
                </w14:textFill>
              </w:rPr>
              <w:t>（个）</w:t>
            </w:r>
          </w:p>
        </w:tc>
        <w:tc>
          <w:tcPr>
            <w:tcW w:w="2567" w:type="dxa"/>
            <w:tcBorders>
              <w:top w:val="single" w:color="auto" w:sz="12" w:space="0"/>
              <w:left w:val="single" w:color="auto" w:sz="4" w:space="0"/>
              <w:bottom w:val="single" w:color="auto" w:sz="4" w:space="0"/>
              <w:right w:val="nil"/>
            </w:tcBorders>
            <w:noWrap w:val="0"/>
            <w:vAlign w:val="center"/>
          </w:tcPr>
          <w:p w14:paraId="00FFB9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宋体"/>
                <w:b/>
                <w:bCs/>
                <w:color w:val="000000" w:themeColor="text1"/>
                <w:kern w:val="0"/>
                <w:sz w:val="21"/>
                <w:szCs w:val="21"/>
                <w:highlight w:val="none"/>
                <w:lang w:val="en-US" w:eastAsia="zh-CN" w:bidi="ar"/>
                <w14:textFill>
                  <w14:solidFill>
                    <w14:schemeClr w14:val="tx1"/>
                  </w14:solidFill>
                </w14:textFill>
              </w:rPr>
              <w:t>从业人员</w:t>
            </w:r>
          </w:p>
          <w:p w14:paraId="263EFB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themeColor="text1"/>
                <w:sz w:val="21"/>
                <w:szCs w:val="21"/>
                <w:highlight w:val="none"/>
                <w14:textFill>
                  <w14:solidFill>
                    <w14:schemeClr w14:val="tx1"/>
                  </w14:solidFill>
                </w14:textFill>
              </w:rPr>
            </w:pPr>
            <w:r>
              <w:rPr>
                <w:rFonts w:hint="eastAsia" w:ascii="Times New Roman" w:hAnsi="Times New Roman" w:eastAsia="宋体" w:cs="宋体"/>
                <w:b/>
                <w:bCs/>
                <w:color w:val="000000" w:themeColor="text1"/>
                <w:kern w:val="0"/>
                <w:sz w:val="21"/>
                <w:szCs w:val="21"/>
                <w:highlight w:val="none"/>
                <w:lang w:val="en-US" w:eastAsia="zh-CN" w:bidi="ar"/>
                <w14:textFill>
                  <w14:solidFill>
                    <w14:schemeClr w14:val="tx1"/>
                  </w14:solidFill>
                </w14:textFill>
              </w:rPr>
              <w:t>（人）</w:t>
            </w:r>
          </w:p>
        </w:tc>
      </w:tr>
      <w:tr w14:paraId="10F878B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single" w:color="auto" w:sz="4" w:space="0"/>
              <w:left w:val="nil"/>
              <w:bottom w:val="nil"/>
              <w:right w:val="single" w:color="auto" w:sz="4" w:space="0"/>
            </w:tcBorders>
            <w:noWrap w:val="0"/>
            <w:vAlign w:val="center"/>
          </w:tcPr>
          <w:p w14:paraId="5430E3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b/>
                <w:color w:val="000000" w:themeColor="text1"/>
                <w:kern w:val="0"/>
                <w:sz w:val="21"/>
                <w:szCs w:val="21"/>
                <w:highlight w:val="none"/>
                <w:lang w:val="en-US" w:eastAsia="zh-CN" w:bidi="ar"/>
                <w14:textFill>
                  <w14:solidFill>
                    <w14:schemeClr w14:val="tx1"/>
                  </w14:solidFill>
                </w14:textFill>
              </w:rPr>
              <w:t>合　计</w:t>
            </w:r>
          </w:p>
        </w:tc>
        <w:tc>
          <w:tcPr>
            <w:tcW w:w="3108" w:type="dxa"/>
            <w:tcBorders>
              <w:top w:val="single" w:color="auto" w:sz="4" w:space="0"/>
              <w:left w:val="single" w:color="auto" w:sz="4" w:space="0"/>
              <w:bottom w:val="nil"/>
              <w:right w:val="single" w:color="auto" w:sz="4" w:space="0"/>
            </w:tcBorders>
            <w:noWrap w:val="0"/>
            <w:vAlign w:val="center"/>
          </w:tcPr>
          <w:p w14:paraId="28C7C88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heme="minorEastAsia" w:hAnsiTheme="minorEastAsia" w:eastAsiaTheme="minorEastAsia" w:cstheme="minorEastAsia"/>
                <w:b/>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val="en-US" w:eastAsia="zh-CN" w:bidi="ar-SA"/>
                <w14:textFill>
                  <w14:solidFill>
                    <w14:schemeClr w14:val="tx1"/>
                  </w14:solidFill>
                </w14:textFill>
              </w:rPr>
              <w:t>97</w:t>
            </w:r>
          </w:p>
        </w:tc>
        <w:tc>
          <w:tcPr>
            <w:tcW w:w="2567" w:type="dxa"/>
            <w:tcBorders>
              <w:top w:val="single" w:color="auto" w:sz="4" w:space="0"/>
              <w:left w:val="single" w:color="auto" w:sz="4" w:space="0"/>
              <w:bottom w:val="nil"/>
              <w:right w:val="nil"/>
            </w:tcBorders>
            <w:noWrap w:val="0"/>
            <w:vAlign w:val="center"/>
          </w:tcPr>
          <w:p w14:paraId="24620BE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heme="minorEastAsia" w:hAnsiTheme="minorEastAsia" w:eastAsiaTheme="minorEastAsia" w:cstheme="minorEastAsia"/>
                <w:b/>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val="en-US" w:eastAsia="zh-CN" w:bidi="ar-SA"/>
                <w14:textFill>
                  <w14:solidFill>
                    <w14:schemeClr w14:val="tx1"/>
                  </w14:solidFill>
                </w14:textFill>
              </w:rPr>
              <w:t>354</w:t>
            </w:r>
          </w:p>
        </w:tc>
      </w:tr>
      <w:tr w14:paraId="2C6349E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nil"/>
              <w:left w:val="nil"/>
              <w:bottom w:val="nil"/>
              <w:right w:val="single" w:color="auto" w:sz="4" w:space="0"/>
            </w:tcBorders>
            <w:noWrap w:val="0"/>
            <w:vAlign w:val="center"/>
          </w:tcPr>
          <w:p w14:paraId="4AC18C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研究和试验发展</w:t>
            </w:r>
          </w:p>
        </w:tc>
        <w:tc>
          <w:tcPr>
            <w:tcW w:w="3108" w:type="dxa"/>
            <w:tcBorders>
              <w:top w:val="nil"/>
              <w:left w:val="single" w:color="auto" w:sz="4" w:space="0"/>
              <w:bottom w:val="nil"/>
              <w:right w:val="single" w:color="auto" w:sz="4" w:space="0"/>
            </w:tcBorders>
            <w:noWrap w:val="0"/>
            <w:vAlign w:val="center"/>
          </w:tcPr>
          <w:p w14:paraId="190E31B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8</w:t>
            </w:r>
          </w:p>
        </w:tc>
        <w:tc>
          <w:tcPr>
            <w:tcW w:w="2567" w:type="dxa"/>
            <w:tcBorders>
              <w:top w:val="nil"/>
              <w:left w:val="single" w:color="auto" w:sz="4" w:space="0"/>
              <w:bottom w:val="nil"/>
              <w:right w:val="nil"/>
            </w:tcBorders>
            <w:noWrap w:val="0"/>
            <w:vAlign w:val="center"/>
          </w:tcPr>
          <w:p w14:paraId="78AE688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7</w:t>
            </w:r>
          </w:p>
        </w:tc>
      </w:tr>
      <w:tr w14:paraId="6B72A75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nil"/>
              <w:left w:val="nil"/>
              <w:bottom w:val="nil"/>
              <w:right w:val="single" w:color="auto" w:sz="4" w:space="0"/>
            </w:tcBorders>
            <w:noWrap w:val="0"/>
            <w:vAlign w:val="center"/>
          </w:tcPr>
          <w:p w14:paraId="6CB2F1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专业技术服务业</w:t>
            </w:r>
          </w:p>
        </w:tc>
        <w:tc>
          <w:tcPr>
            <w:tcW w:w="3108" w:type="dxa"/>
            <w:tcBorders>
              <w:top w:val="nil"/>
              <w:left w:val="single" w:color="auto" w:sz="4" w:space="0"/>
              <w:bottom w:val="nil"/>
              <w:right w:val="single" w:color="auto" w:sz="4" w:space="0"/>
            </w:tcBorders>
            <w:noWrap w:val="0"/>
            <w:vAlign w:val="center"/>
          </w:tcPr>
          <w:p w14:paraId="5403068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36</w:t>
            </w:r>
          </w:p>
        </w:tc>
        <w:tc>
          <w:tcPr>
            <w:tcW w:w="2567" w:type="dxa"/>
            <w:tcBorders>
              <w:top w:val="nil"/>
              <w:left w:val="single" w:color="auto" w:sz="4" w:space="0"/>
              <w:bottom w:val="nil"/>
              <w:right w:val="nil"/>
            </w:tcBorders>
            <w:noWrap w:val="0"/>
            <w:vAlign w:val="center"/>
          </w:tcPr>
          <w:p w14:paraId="08F9EB1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172</w:t>
            </w:r>
          </w:p>
        </w:tc>
      </w:tr>
      <w:tr w14:paraId="003DE54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nil"/>
              <w:left w:val="nil"/>
              <w:bottom w:val="single" w:color="auto" w:sz="12" w:space="0"/>
              <w:right w:val="single" w:color="auto" w:sz="4" w:space="0"/>
            </w:tcBorders>
            <w:noWrap w:val="0"/>
            <w:vAlign w:val="center"/>
          </w:tcPr>
          <w:p w14:paraId="1084F1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科技推广和应用服务业</w:t>
            </w:r>
          </w:p>
        </w:tc>
        <w:tc>
          <w:tcPr>
            <w:tcW w:w="3108" w:type="dxa"/>
            <w:tcBorders>
              <w:top w:val="nil"/>
              <w:left w:val="single" w:color="auto" w:sz="4" w:space="0"/>
              <w:bottom w:val="single" w:color="auto" w:sz="12" w:space="0"/>
              <w:right w:val="single" w:color="auto" w:sz="4" w:space="0"/>
            </w:tcBorders>
            <w:noWrap w:val="0"/>
            <w:vAlign w:val="center"/>
          </w:tcPr>
          <w:p w14:paraId="6DC57A3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53</w:t>
            </w:r>
          </w:p>
        </w:tc>
        <w:tc>
          <w:tcPr>
            <w:tcW w:w="2567" w:type="dxa"/>
            <w:tcBorders>
              <w:top w:val="nil"/>
              <w:left w:val="single" w:color="auto" w:sz="4" w:space="0"/>
              <w:bottom w:val="single" w:color="auto" w:sz="12" w:space="0"/>
              <w:right w:val="nil"/>
            </w:tcBorders>
            <w:noWrap w:val="0"/>
            <w:vAlign w:val="center"/>
          </w:tcPr>
          <w:p w14:paraId="2270E61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175</w:t>
            </w:r>
          </w:p>
        </w:tc>
      </w:tr>
    </w:tbl>
    <w:p w14:paraId="283659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在科学研究和技术服务业企业法人单位中，内资企业95个，占97.9%，</w:t>
      </w:r>
      <w:bookmarkStart w:id="0" w:name="OLE_LINK1"/>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其他统计类别2个，占2.1%</w:t>
      </w:r>
      <w:bookmarkEnd w:id="0"/>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p>
    <w:p w14:paraId="7A8CD5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在科学研究和技术服务业企业法人单位从业人员中，内资企业347人，占98.0%，其他统计类别7人，占2.0%。</w:t>
      </w:r>
    </w:p>
    <w:p w14:paraId="29C64A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9" w:firstLineChars="200"/>
        <w:jc w:val="both"/>
        <w:textAlignment w:val="auto"/>
        <w:outlineLvl w:val="2"/>
        <w:rPr>
          <w:rFonts w:hint="eastAsia" w:ascii="楷体_GB2312" w:hAnsi="楷体_GB2312" w:eastAsia="楷体_GB2312" w:cs="楷体_GB2312"/>
          <w:b/>
          <w:bCs/>
          <w:color w:val="000000" w:themeColor="text1"/>
          <w:spacing w:val="-6"/>
          <w:kern w:val="2"/>
          <w:sz w:val="32"/>
          <w:szCs w:val="32"/>
          <w:u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pacing w:val="-6"/>
          <w:kern w:val="2"/>
          <w:sz w:val="32"/>
          <w:szCs w:val="32"/>
          <w:u w:val="none"/>
          <w:lang w:val="en-US" w:eastAsia="zh-CN" w:bidi="ar-SA"/>
          <w14:textFill>
            <w14:solidFill>
              <w14:schemeClr w14:val="tx1"/>
            </w14:solidFill>
          </w14:textFill>
        </w:rPr>
        <w:t>（二）主要经济指标</w:t>
      </w:r>
    </w:p>
    <w:p w14:paraId="18251E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宋体" w:cs="宋体"/>
          <w:b/>
          <w:i w:val="0"/>
          <w:caps w:val="0"/>
          <w:color w:val="000000" w:themeColor="text1"/>
          <w:spacing w:val="0"/>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2023年末，全县科学研究和技术服务业企业法人单位资产总计11915.9万元，比2018年末增长40.2%；负债合计6660.9万元，比2018年末增长156.2%。2023年，全县科学研究和技术服务业企业法人单位全年实现营业收入6984.4万元（详见表5-2）。</w:t>
      </w:r>
    </w:p>
    <w:p w14:paraId="0901DA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themeColor="text1"/>
          <w:spacing w:val="0"/>
          <w:kern w:val="0"/>
          <w:sz w:val="24"/>
          <w:szCs w:val="24"/>
          <w:highlight w:val="none"/>
          <w:lang w:val="en-US" w:eastAsia="zh-CN" w:bidi="ar"/>
          <w14:textFill>
            <w14:solidFill>
              <w14:schemeClr w14:val="tx1"/>
            </w14:solidFill>
          </w14:textFill>
        </w:rPr>
      </w:pPr>
      <w:r>
        <w:rPr>
          <w:rFonts w:hint="eastAsia" w:ascii="Times New Roman" w:hAnsi="Times New Roman" w:eastAsia="宋体" w:cs="宋体"/>
          <w:b/>
          <w:i w:val="0"/>
          <w:caps w:val="0"/>
          <w:color w:val="000000" w:themeColor="text1"/>
          <w:spacing w:val="0"/>
          <w:kern w:val="0"/>
          <w:sz w:val="24"/>
          <w:szCs w:val="24"/>
          <w:highlight w:val="none"/>
          <w:lang w:val="en-US" w:eastAsia="zh-CN" w:bidi="ar"/>
          <w14:textFill>
            <w14:solidFill>
              <w14:schemeClr w14:val="tx1"/>
            </w14:solidFill>
          </w14:textFill>
        </w:rPr>
        <w:t>表5-2　按行业大类分组的科学研究和技术服务业</w:t>
      </w:r>
    </w:p>
    <w:p w14:paraId="42A91E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themeColor="text1"/>
          <w:spacing w:val="0"/>
          <w:kern w:val="0"/>
          <w:sz w:val="24"/>
          <w:szCs w:val="24"/>
          <w:highlight w:val="none"/>
          <w:lang w:val="en-US" w:eastAsia="zh-CN" w:bidi="ar"/>
          <w14:textFill>
            <w14:solidFill>
              <w14:schemeClr w14:val="tx1"/>
            </w14:solidFill>
          </w14:textFill>
        </w:rPr>
      </w:pPr>
      <w:r>
        <w:rPr>
          <w:rFonts w:hint="eastAsia" w:ascii="Times New Roman" w:hAnsi="Times New Roman" w:eastAsia="宋体" w:cs="宋体"/>
          <w:b/>
          <w:i w:val="0"/>
          <w:caps w:val="0"/>
          <w:color w:val="000000" w:themeColor="text1"/>
          <w:spacing w:val="0"/>
          <w:kern w:val="0"/>
          <w:sz w:val="24"/>
          <w:szCs w:val="24"/>
          <w:highlight w:val="none"/>
          <w:lang w:val="en-US" w:eastAsia="zh-CN" w:bidi="ar"/>
          <w14:textFill>
            <w14:solidFill>
              <w14:schemeClr w14:val="tx1"/>
            </w14:solidFill>
          </w14:textFill>
        </w:rPr>
        <w:t>企业法人单位主要经济指标</w:t>
      </w:r>
    </w:p>
    <w:tbl>
      <w:tblPr>
        <w:tblStyle w:val="9"/>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06"/>
        <w:gridCol w:w="1500"/>
        <w:gridCol w:w="1500"/>
        <w:gridCol w:w="1500"/>
      </w:tblGrid>
      <w:tr w14:paraId="413D571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806" w:type="dxa"/>
            <w:tcBorders>
              <w:top w:val="single" w:color="auto" w:sz="12" w:space="0"/>
              <w:left w:val="nil"/>
              <w:bottom w:val="single" w:color="auto" w:sz="4" w:space="0"/>
              <w:right w:val="single" w:color="auto" w:sz="4" w:space="0"/>
            </w:tcBorders>
            <w:noWrap w:val="0"/>
            <w:vAlign w:val="center"/>
          </w:tcPr>
          <w:p w14:paraId="02E042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p>
        </w:tc>
        <w:tc>
          <w:tcPr>
            <w:tcW w:w="1500" w:type="dxa"/>
            <w:tcBorders>
              <w:top w:val="single" w:color="auto" w:sz="12" w:space="0"/>
              <w:left w:val="single" w:color="auto" w:sz="4" w:space="0"/>
              <w:bottom w:val="single" w:color="auto" w:sz="4" w:space="0"/>
              <w:right w:val="single" w:color="auto" w:sz="4" w:space="0"/>
            </w:tcBorders>
            <w:noWrap w:val="0"/>
            <w:vAlign w:val="center"/>
          </w:tcPr>
          <w:p w14:paraId="150110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themeColor="text1"/>
                <w:sz w:val="21"/>
                <w:szCs w:val="21"/>
                <w:highlight w:val="none"/>
                <w14:textFill>
                  <w14:solidFill>
                    <w14:schemeClr w14:val="tx1"/>
                  </w14:solidFill>
                </w14:textFill>
              </w:rPr>
            </w:pPr>
            <w:r>
              <w:rPr>
                <w:rFonts w:hint="eastAsia" w:ascii="Times New Roman" w:hAnsi="Times New Roman" w:eastAsia="宋体" w:cs="宋体"/>
                <w:b/>
                <w:bCs/>
                <w:color w:val="000000" w:themeColor="text1"/>
                <w:kern w:val="0"/>
                <w:sz w:val="21"/>
                <w:szCs w:val="21"/>
                <w:highlight w:val="none"/>
                <w:lang w:val="en-US" w:eastAsia="zh-CN" w:bidi="ar"/>
                <w14:textFill>
                  <w14:solidFill>
                    <w14:schemeClr w14:val="tx1"/>
                  </w14:solidFill>
                </w14:textFill>
              </w:rPr>
              <w:t>资产总计</w:t>
            </w:r>
          </w:p>
          <w:p w14:paraId="114D16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themeColor="text1"/>
                <w:sz w:val="21"/>
                <w:szCs w:val="21"/>
                <w:highlight w:val="none"/>
                <w14:textFill>
                  <w14:solidFill>
                    <w14:schemeClr w14:val="tx1"/>
                  </w14:solidFill>
                </w14:textFill>
              </w:rPr>
            </w:pPr>
            <w:r>
              <w:rPr>
                <w:rFonts w:hint="eastAsia" w:ascii="Times New Roman" w:hAnsi="Times New Roman" w:eastAsia="宋体" w:cs="宋体"/>
                <w:b/>
                <w:bCs/>
                <w:color w:val="000000" w:themeColor="text1"/>
                <w:kern w:val="0"/>
                <w:sz w:val="21"/>
                <w:szCs w:val="21"/>
                <w:highlight w:val="none"/>
                <w:lang w:val="en-US" w:eastAsia="zh-CN" w:bidi="ar"/>
                <w14:textFill>
                  <w14:solidFill>
                    <w14:schemeClr w14:val="tx1"/>
                  </w14:solidFill>
                </w14:textFill>
              </w:rPr>
              <w:t>（万元）</w:t>
            </w:r>
          </w:p>
        </w:tc>
        <w:tc>
          <w:tcPr>
            <w:tcW w:w="1500" w:type="dxa"/>
            <w:tcBorders>
              <w:top w:val="single" w:color="auto" w:sz="12" w:space="0"/>
              <w:left w:val="single" w:color="auto" w:sz="4" w:space="0"/>
              <w:bottom w:val="single" w:color="auto" w:sz="4" w:space="0"/>
              <w:right w:val="single" w:color="auto" w:sz="4" w:space="0"/>
            </w:tcBorders>
            <w:noWrap w:val="0"/>
            <w:vAlign w:val="center"/>
          </w:tcPr>
          <w:p w14:paraId="37A54F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themeColor="text1"/>
                <w:sz w:val="21"/>
                <w:szCs w:val="21"/>
                <w:highlight w:val="none"/>
                <w14:textFill>
                  <w14:solidFill>
                    <w14:schemeClr w14:val="tx1"/>
                  </w14:solidFill>
                </w14:textFill>
              </w:rPr>
            </w:pPr>
            <w:r>
              <w:rPr>
                <w:rFonts w:hint="eastAsia" w:ascii="Times New Roman" w:hAnsi="Times New Roman" w:eastAsia="宋体" w:cs="宋体"/>
                <w:b/>
                <w:bCs/>
                <w:color w:val="000000" w:themeColor="text1"/>
                <w:kern w:val="0"/>
                <w:sz w:val="21"/>
                <w:szCs w:val="21"/>
                <w:highlight w:val="none"/>
                <w:lang w:val="en-US" w:eastAsia="zh-CN" w:bidi="ar"/>
                <w14:textFill>
                  <w14:solidFill>
                    <w14:schemeClr w14:val="tx1"/>
                  </w14:solidFill>
                </w14:textFill>
              </w:rPr>
              <w:t>负债合计</w:t>
            </w:r>
          </w:p>
          <w:p w14:paraId="01C827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themeColor="text1"/>
                <w:sz w:val="21"/>
                <w:szCs w:val="21"/>
                <w:highlight w:val="none"/>
                <w14:textFill>
                  <w14:solidFill>
                    <w14:schemeClr w14:val="tx1"/>
                  </w14:solidFill>
                </w14:textFill>
              </w:rPr>
            </w:pPr>
            <w:r>
              <w:rPr>
                <w:rFonts w:hint="eastAsia" w:ascii="Times New Roman" w:hAnsi="Times New Roman" w:eastAsia="宋体" w:cs="宋体"/>
                <w:b/>
                <w:bCs/>
                <w:color w:val="000000" w:themeColor="text1"/>
                <w:kern w:val="0"/>
                <w:sz w:val="21"/>
                <w:szCs w:val="21"/>
                <w:highlight w:val="none"/>
                <w:lang w:val="en-US" w:eastAsia="zh-CN" w:bidi="ar"/>
                <w14:textFill>
                  <w14:solidFill>
                    <w14:schemeClr w14:val="tx1"/>
                  </w14:solidFill>
                </w14:textFill>
              </w:rPr>
              <w:t>（万元）</w:t>
            </w:r>
          </w:p>
        </w:tc>
        <w:tc>
          <w:tcPr>
            <w:tcW w:w="1500" w:type="dxa"/>
            <w:tcBorders>
              <w:top w:val="single" w:color="auto" w:sz="12" w:space="0"/>
              <w:left w:val="single" w:color="auto" w:sz="4" w:space="0"/>
              <w:bottom w:val="single" w:color="auto" w:sz="4" w:space="0"/>
              <w:right w:val="nil"/>
            </w:tcBorders>
            <w:noWrap w:val="0"/>
            <w:vAlign w:val="center"/>
          </w:tcPr>
          <w:p w14:paraId="14A6BB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themeColor="text1"/>
                <w:sz w:val="21"/>
                <w:szCs w:val="21"/>
                <w:highlight w:val="none"/>
                <w14:textFill>
                  <w14:solidFill>
                    <w14:schemeClr w14:val="tx1"/>
                  </w14:solidFill>
                </w14:textFill>
              </w:rPr>
            </w:pPr>
            <w:r>
              <w:rPr>
                <w:rFonts w:hint="eastAsia" w:ascii="Times New Roman" w:hAnsi="Times New Roman" w:eastAsia="宋体" w:cs="宋体"/>
                <w:b/>
                <w:bCs/>
                <w:color w:val="000000" w:themeColor="text1"/>
                <w:kern w:val="0"/>
                <w:sz w:val="21"/>
                <w:szCs w:val="21"/>
                <w:highlight w:val="none"/>
                <w:lang w:val="en-US" w:eastAsia="zh-CN" w:bidi="ar"/>
                <w14:textFill>
                  <w14:solidFill>
                    <w14:schemeClr w14:val="tx1"/>
                  </w14:solidFill>
                </w14:textFill>
              </w:rPr>
              <w:t>营业收入</w:t>
            </w:r>
          </w:p>
          <w:p w14:paraId="583A01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themeColor="text1"/>
                <w:sz w:val="21"/>
                <w:szCs w:val="21"/>
                <w:highlight w:val="none"/>
                <w14:textFill>
                  <w14:solidFill>
                    <w14:schemeClr w14:val="tx1"/>
                  </w14:solidFill>
                </w14:textFill>
              </w:rPr>
            </w:pPr>
            <w:r>
              <w:rPr>
                <w:rFonts w:hint="eastAsia" w:ascii="Times New Roman" w:hAnsi="Times New Roman" w:eastAsia="宋体" w:cs="宋体"/>
                <w:b/>
                <w:bCs/>
                <w:color w:val="000000" w:themeColor="text1"/>
                <w:kern w:val="0"/>
                <w:sz w:val="21"/>
                <w:szCs w:val="21"/>
                <w:highlight w:val="none"/>
                <w:lang w:val="en-US" w:eastAsia="zh-CN" w:bidi="ar"/>
                <w14:textFill>
                  <w14:solidFill>
                    <w14:schemeClr w14:val="tx1"/>
                  </w14:solidFill>
                </w14:textFill>
              </w:rPr>
              <w:t>（万元）</w:t>
            </w:r>
          </w:p>
        </w:tc>
      </w:tr>
      <w:tr w14:paraId="79F04C7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6" w:type="dxa"/>
            <w:tcBorders>
              <w:top w:val="single" w:color="auto" w:sz="4" w:space="0"/>
              <w:left w:val="nil"/>
              <w:bottom w:val="nil"/>
              <w:right w:val="single" w:color="auto" w:sz="4" w:space="0"/>
            </w:tcBorders>
            <w:noWrap w:val="0"/>
            <w:vAlign w:val="center"/>
          </w:tcPr>
          <w:p w14:paraId="367F4A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b/>
                <w:color w:val="000000" w:themeColor="text1"/>
                <w:kern w:val="0"/>
                <w:sz w:val="21"/>
                <w:szCs w:val="21"/>
                <w:highlight w:val="none"/>
                <w:lang w:val="en-US" w:eastAsia="zh-CN" w:bidi="ar"/>
                <w14:textFill>
                  <w14:solidFill>
                    <w14:schemeClr w14:val="tx1"/>
                  </w14:solidFill>
                </w14:textFill>
              </w:rPr>
              <w:t>合　计</w:t>
            </w:r>
          </w:p>
        </w:tc>
        <w:tc>
          <w:tcPr>
            <w:tcW w:w="1500" w:type="dxa"/>
            <w:tcBorders>
              <w:top w:val="single" w:color="auto" w:sz="4" w:space="0"/>
              <w:left w:val="single" w:color="auto" w:sz="4" w:space="0"/>
              <w:bottom w:val="nil"/>
              <w:right w:val="single" w:color="auto" w:sz="4" w:space="0"/>
            </w:tcBorders>
            <w:noWrap w:val="0"/>
            <w:vAlign w:val="center"/>
          </w:tcPr>
          <w:p w14:paraId="1BFDA705">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themeColor="text1"/>
                <w:kern w:val="2"/>
                <w:sz w:val="21"/>
                <w:szCs w:val="21"/>
                <w:u w:val="none"/>
                <w:lang w:val="en"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1"/>
                <w:szCs w:val="21"/>
                <w:u w:val="none"/>
                <w:lang w:val="en-US" w:eastAsia="zh-CN" w:bidi="ar"/>
                <w14:textFill>
                  <w14:solidFill>
                    <w14:schemeClr w14:val="tx1"/>
                  </w14:solidFill>
                </w14:textFill>
              </w:rPr>
              <w:t xml:space="preserve">11915.9 </w:t>
            </w:r>
          </w:p>
        </w:tc>
        <w:tc>
          <w:tcPr>
            <w:tcW w:w="1500" w:type="dxa"/>
            <w:tcBorders>
              <w:top w:val="single" w:color="auto" w:sz="4" w:space="0"/>
              <w:left w:val="single" w:color="auto" w:sz="4" w:space="0"/>
              <w:bottom w:val="nil"/>
              <w:right w:val="single" w:color="auto" w:sz="4" w:space="0"/>
            </w:tcBorders>
            <w:noWrap w:val="0"/>
            <w:vAlign w:val="center"/>
          </w:tcPr>
          <w:p w14:paraId="2B2CA5B9">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themeColor="text1"/>
                <w:kern w:val="2"/>
                <w:sz w:val="21"/>
                <w:szCs w:val="21"/>
                <w:u w:val="none"/>
                <w:lang w:val="en"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1"/>
                <w:szCs w:val="21"/>
                <w:u w:val="none"/>
                <w:lang w:val="en-US" w:eastAsia="zh-CN" w:bidi="ar"/>
                <w14:textFill>
                  <w14:solidFill>
                    <w14:schemeClr w14:val="tx1"/>
                  </w14:solidFill>
                </w14:textFill>
              </w:rPr>
              <w:t>6660.</w:t>
            </w:r>
            <w:r>
              <w:rPr>
                <w:rFonts w:hint="eastAsia" w:asciiTheme="minorEastAsia" w:hAnsiTheme="minorEastAsia" w:cstheme="minorEastAsia"/>
                <w:b/>
                <w:bCs/>
                <w:i w:val="0"/>
                <w:iCs w:val="0"/>
                <w:color w:val="000000" w:themeColor="text1"/>
                <w:kern w:val="0"/>
                <w:sz w:val="21"/>
                <w:szCs w:val="21"/>
                <w:u w:val="none"/>
                <w:lang w:val="en-US" w:eastAsia="zh-CN" w:bidi="ar"/>
                <w14:textFill>
                  <w14:solidFill>
                    <w14:schemeClr w14:val="tx1"/>
                  </w14:solidFill>
                </w14:textFill>
              </w:rPr>
              <w:t>9</w:t>
            </w:r>
            <w:r>
              <w:rPr>
                <w:rFonts w:hint="eastAsia" w:asciiTheme="minorEastAsia" w:hAnsiTheme="minorEastAsia" w:eastAsiaTheme="minorEastAsia" w:cstheme="minorEastAsia"/>
                <w:b/>
                <w:bCs/>
                <w:i w:val="0"/>
                <w:iCs w:val="0"/>
                <w:color w:val="000000" w:themeColor="text1"/>
                <w:kern w:val="0"/>
                <w:sz w:val="21"/>
                <w:szCs w:val="21"/>
                <w:u w:val="none"/>
                <w:lang w:val="en-US" w:eastAsia="zh-CN" w:bidi="ar"/>
                <w14:textFill>
                  <w14:solidFill>
                    <w14:schemeClr w14:val="tx1"/>
                  </w14:solidFill>
                </w14:textFill>
              </w:rPr>
              <w:t xml:space="preserve"> </w:t>
            </w:r>
          </w:p>
        </w:tc>
        <w:tc>
          <w:tcPr>
            <w:tcW w:w="1500" w:type="dxa"/>
            <w:tcBorders>
              <w:top w:val="single" w:color="auto" w:sz="4" w:space="0"/>
              <w:left w:val="single" w:color="auto" w:sz="4" w:space="0"/>
              <w:bottom w:val="nil"/>
              <w:right w:val="nil"/>
            </w:tcBorders>
            <w:noWrap w:val="0"/>
            <w:vAlign w:val="center"/>
          </w:tcPr>
          <w:p w14:paraId="3381B30F">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themeColor="text1"/>
                <w:kern w:val="2"/>
                <w:sz w:val="21"/>
                <w:szCs w:val="21"/>
                <w:u w:val="none"/>
                <w:lang w:val="en"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1"/>
                <w:szCs w:val="21"/>
                <w:u w:val="none"/>
                <w:lang w:val="en-US" w:eastAsia="zh-CN" w:bidi="ar"/>
                <w14:textFill>
                  <w14:solidFill>
                    <w14:schemeClr w14:val="tx1"/>
                  </w14:solidFill>
                </w14:textFill>
              </w:rPr>
              <w:t>6984.</w:t>
            </w:r>
            <w:r>
              <w:rPr>
                <w:rFonts w:hint="eastAsia" w:asciiTheme="minorEastAsia" w:hAnsiTheme="minorEastAsia" w:cstheme="minorEastAsia"/>
                <w:b/>
                <w:bCs/>
                <w:i w:val="0"/>
                <w:iCs w:val="0"/>
                <w:color w:val="000000" w:themeColor="text1"/>
                <w:kern w:val="0"/>
                <w:sz w:val="21"/>
                <w:szCs w:val="21"/>
                <w:u w:val="none"/>
                <w:lang w:val="en-US" w:eastAsia="zh-CN" w:bidi="ar"/>
                <w14:textFill>
                  <w14:solidFill>
                    <w14:schemeClr w14:val="tx1"/>
                  </w14:solidFill>
                </w14:textFill>
              </w:rPr>
              <w:t>4</w:t>
            </w:r>
            <w:r>
              <w:rPr>
                <w:rFonts w:hint="eastAsia" w:asciiTheme="minorEastAsia" w:hAnsiTheme="minorEastAsia" w:eastAsiaTheme="minorEastAsia" w:cstheme="minorEastAsia"/>
                <w:b/>
                <w:bCs/>
                <w:i w:val="0"/>
                <w:iCs w:val="0"/>
                <w:color w:val="000000" w:themeColor="text1"/>
                <w:kern w:val="0"/>
                <w:sz w:val="21"/>
                <w:szCs w:val="21"/>
                <w:u w:val="none"/>
                <w:lang w:val="en-US" w:eastAsia="zh-CN" w:bidi="ar"/>
                <w14:textFill>
                  <w14:solidFill>
                    <w14:schemeClr w14:val="tx1"/>
                  </w14:solidFill>
                </w14:textFill>
              </w:rPr>
              <w:t xml:space="preserve"> </w:t>
            </w:r>
          </w:p>
        </w:tc>
      </w:tr>
      <w:tr w14:paraId="645E6D4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6" w:type="dxa"/>
            <w:tcBorders>
              <w:top w:val="nil"/>
              <w:left w:val="nil"/>
              <w:bottom w:val="nil"/>
              <w:right w:val="single" w:color="auto" w:sz="4" w:space="0"/>
            </w:tcBorders>
            <w:noWrap w:val="0"/>
            <w:vAlign w:val="center"/>
          </w:tcPr>
          <w:p w14:paraId="647AB5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研究和试验发展</w:t>
            </w:r>
          </w:p>
        </w:tc>
        <w:tc>
          <w:tcPr>
            <w:tcW w:w="1500" w:type="dxa"/>
            <w:tcBorders>
              <w:top w:val="nil"/>
              <w:left w:val="single" w:color="auto" w:sz="4" w:space="0"/>
              <w:bottom w:val="nil"/>
              <w:right w:val="single" w:color="auto" w:sz="4" w:space="0"/>
            </w:tcBorders>
            <w:noWrap w:val="0"/>
            <w:vAlign w:val="center"/>
          </w:tcPr>
          <w:p w14:paraId="69EF34F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themeColor="text1"/>
                <w:kern w:val="2"/>
                <w:sz w:val="21"/>
                <w:szCs w:val="21"/>
                <w:u w:val="none"/>
                <w:lang w:val="en"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1476.0</w:t>
            </w:r>
          </w:p>
        </w:tc>
        <w:tc>
          <w:tcPr>
            <w:tcW w:w="1500" w:type="dxa"/>
            <w:tcBorders>
              <w:top w:val="nil"/>
              <w:left w:val="single" w:color="auto" w:sz="4" w:space="0"/>
              <w:bottom w:val="nil"/>
              <w:right w:val="single" w:color="auto" w:sz="4" w:space="0"/>
            </w:tcBorders>
            <w:noWrap w:val="0"/>
            <w:vAlign w:val="center"/>
          </w:tcPr>
          <w:p w14:paraId="63515F4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themeColor="text1"/>
                <w:kern w:val="2"/>
                <w:sz w:val="21"/>
                <w:szCs w:val="21"/>
                <w:u w:val="none"/>
                <w:lang w:val="en"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505.</w:t>
            </w:r>
            <w:r>
              <w:rPr>
                <w:rFonts w:hint="eastAsia" w:asciiTheme="minorEastAsia" w:hAnsiTheme="minorEastAsia" w:cstheme="minorEastAsia"/>
                <w:i w:val="0"/>
                <w:iCs w:val="0"/>
                <w:color w:val="000000" w:themeColor="text1"/>
                <w:kern w:val="0"/>
                <w:sz w:val="21"/>
                <w:szCs w:val="21"/>
                <w:u w:val="none"/>
                <w:lang w:val="en-US" w:eastAsia="zh-CN" w:bidi="ar"/>
                <w14:textFill>
                  <w14:solidFill>
                    <w14:schemeClr w14:val="tx1"/>
                  </w14:solidFill>
                </w14:textFill>
              </w:rPr>
              <w:t>1</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 xml:space="preserve"> </w:t>
            </w:r>
          </w:p>
        </w:tc>
        <w:tc>
          <w:tcPr>
            <w:tcW w:w="1500" w:type="dxa"/>
            <w:tcBorders>
              <w:top w:val="nil"/>
              <w:left w:val="single" w:color="auto" w:sz="4" w:space="0"/>
              <w:bottom w:val="nil"/>
              <w:right w:val="nil"/>
            </w:tcBorders>
            <w:noWrap w:val="0"/>
            <w:vAlign w:val="center"/>
          </w:tcPr>
          <w:p w14:paraId="0A96A51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themeColor="text1"/>
                <w:kern w:val="2"/>
                <w:sz w:val="21"/>
                <w:szCs w:val="21"/>
                <w:u w:val="none"/>
                <w:lang w:val="en"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431.</w:t>
            </w:r>
            <w:r>
              <w:rPr>
                <w:rFonts w:hint="eastAsia" w:asciiTheme="minorEastAsia" w:hAnsiTheme="minorEastAsia" w:cstheme="minorEastAsia"/>
                <w:i w:val="0"/>
                <w:iCs w:val="0"/>
                <w:color w:val="000000" w:themeColor="text1"/>
                <w:kern w:val="0"/>
                <w:sz w:val="21"/>
                <w:szCs w:val="21"/>
                <w:u w:val="none"/>
                <w:lang w:val="en-US" w:eastAsia="zh-CN" w:bidi="ar"/>
                <w14:textFill>
                  <w14:solidFill>
                    <w14:schemeClr w14:val="tx1"/>
                  </w14:solidFill>
                </w14:textFill>
              </w:rPr>
              <w:t>2</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 xml:space="preserve"> </w:t>
            </w:r>
          </w:p>
        </w:tc>
      </w:tr>
      <w:tr w14:paraId="0C77179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6" w:type="dxa"/>
            <w:tcBorders>
              <w:top w:val="nil"/>
              <w:left w:val="nil"/>
              <w:bottom w:val="nil"/>
              <w:right w:val="single" w:color="auto" w:sz="4" w:space="0"/>
            </w:tcBorders>
            <w:noWrap w:val="0"/>
            <w:vAlign w:val="center"/>
          </w:tcPr>
          <w:p w14:paraId="2B2AA7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专业技术服务业</w:t>
            </w:r>
          </w:p>
        </w:tc>
        <w:tc>
          <w:tcPr>
            <w:tcW w:w="1500" w:type="dxa"/>
            <w:tcBorders>
              <w:top w:val="nil"/>
              <w:left w:val="single" w:color="auto" w:sz="4" w:space="0"/>
              <w:bottom w:val="nil"/>
              <w:right w:val="single" w:color="auto" w:sz="4" w:space="0"/>
            </w:tcBorders>
            <w:noWrap w:val="0"/>
            <w:vAlign w:val="center"/>
          </w:tcPr>
          <w:p w14:paraId="4E95294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themeColor="text1"/>
                <w:kern w:val="2"/>
                <w:sz w:val="21"/>
                <w:szCs w:val="21"/>
                <w:u w:val="none"/>
                <w:lang w:val="en"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2855.5</w:t>
            </w:r>
          </w:p>
        </w:tc>
        <w:tc>
          <w:tcPr>
            <w:tcW w:w="1500" w:type="dxa"/>
            <w:tcBorders>
              <w:top w:val="nil"/>
              <w:left w:val="single" w:color="auto" w:sz="4" w:space="0"/>
              <w:bottom w:val="nil"/>
              <w:right w:val="single" w:color="auto" w:sz="4" w:space="0"/>
            </w:tcBorders>
            <w:noWrap w:val="0"/>
            <w:vAlign w:val="center"/>
          </w:tcPr>
          <w:p w14:paraId="1384B21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themeColor="text1"/>
                <w:kern w:val="2"/>
                <w:sz w:val="21"/>
                <w:szCs w:val="21"/>
                <w:u w:val="none"/>
                <w:lang w:val="en"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 xml:space="preserve">2055.0 </w:t>
            </w:r>
          </w:p>
        </w:tc>
        <w:tc>
          <w:tcPr>
            <w:tcW w:w="1500" w:type="dxa"/>
            <w:tcBorders>
              <w:top w:val="nil"/>
              <w:left w:val="single" w:color="auto" w:sz="4" w:space="0"/>
              <w:bottom w:val="nil"/>
              <w:right w:val="nil"/>
            </w:tcBorders>
            <w:noWrap w:val="0"/>
            <w:vAlign w:val="center"/>
          </w:tcPr>
          <w:p w14:paraId="7F7439E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themeColor="text1"/>
                <w:kern w:val="2"/>
                <w:sz w:val="21"/>
                <w:szCs w:val="21"/>
                <w:u w:val="none"/>
                <w:lang w:val="en"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 xml:space="preserve">3359.4 </w:t>
            </w:r>
          </w:p>
        </w:tc>
      </w:tr>
      <w:tr w14:paraId="3114209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6" w:type="dxa"/>
            <w:tcBorders>
              <w:top w:val="nil"/>
              <w:left w:val="nil"/>
              <w:bottom w:val="single" w:color="auto" w:sz="12" w:space="0"/>
              <w:right w:val="single" w:color="auto" w:sz="4" w:space="0"/>
            </w:tcBorders>
            <w:noWrap w:val="0"/>
            <w:vAlign w:val="center"/>
          </w:tcPr>
          <w:p w14:paraId="0E1F83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科技推广和应用服务业</w:t>
            </w:r>
          </w:p>
        </w:tc>
        <w:tc>
          <w:tcPr>
            <w:tcW w:w="1500" w:type="dxa"/>
            <w:tcBorders>
              <w:top w:val="nil"/>
              <w:left w:val="single" w:color="auto" w:sz="4" w:space="0"/>
              <w:bottom w:val="single" w:color="auto" w:sz="12" w:space="0"/>
              <w:right w:val="single" w:color="auto" w:sz="4" w:space="0"/>
            </w:tcBorders>
            <w:noWrap w:val="0"/>
            <w:vAlign w:val="center"/>
          </w:tcPr>
          <w:p w14:paraId="606F2BD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themeColor="text1"/>
                <w:kern w:val="2"/>
                <w:sz w:val="21"/>
                <w:szCs w:val="21"/>
                <w:u w:val="none"/>
                <w:lang w:val="en"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7584.4</w:t>
            </w:r>
          </w:p>
        </w:tc>
        <w:tc>
          <w:tcPr>
            <w:tcW w:w="1500" w:type="dxa"/>
            <w:tcBorders>
              <w:top w:val="nil"/>
              <w:left w:val="single" w:color="auto" w:sz="4" w:space="0"/>
              <w:bottom w:val="single" w:color="auto" w:sz="12" w:space="0"/>
              <w:right w:val="single" w:color="auto" w:sz="4" w:space="0"/>
            </w:tcBorders>
            <w:noWrap w:val="0"/>
            <w:vAlign w:val="center"/>
          </w:tcPr>
          <w:p w14:paraId="052BBE0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themeColor="text1"/>
                <w:kern w:val="2"/>
                <w:sz w:val="21"/>
                <w:szCs w:val="21"/>
                <w:u w:val="none"/>
                <w:lang w:val="en"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4100.</w:t>
            </w:r>
            <w:r>
              <w:rPr>
                <w:rFonts w:hint="eastAsia" w:asciiTheme="minorEastAsia" w:hAnsiTheme="minorEastAsia" w:cstheme="minorEastAsia"/>
                <w:i w:val="0"/>
                <w:iCs w:val="0"/>
                <w:color w:val="000000" w:themeColor="text1"/>
                <w:kern w:val="0"/>
                <w:sz w:val="21"/>
                <w:szCs w:val="21"/>
                <w:u w:val="none"/>
                <w:lang w:val="en-US" w:eastAsia="zh-CN" w:bidi="ar"/>
                <w14:textFill>
                  <w14:solidFill>
                    <w14:schemeClr w14:val="tx1"/>
                  </w14:solidFill>
                </w14:textFill>
              </w:rPr>
              <w:t>8</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 xml:space="preserve"> </w:t>
            </w:r>
          </w:p>
        </w:tc>
        <w:tc>
          <w:tcPr>
            <w:tcW w:w="1500" w:type="dxa"/>
            <w:tcBorders>
              <w:top w:val="nil"/>
              <w:left w:val="single" w:color="auto" w:sz="4" w:space="0"/>
              <w:bottom w:val="single" w:color="auto" w:sz="12" w:space="0"/>
              <w:right w:val="nil"/>
            </w:tcBorders>
            <w:noWrap w:val="0"/>
            <w:vAlign w:val="center"/>
          </w:tcPr>
          <w:p w14:paraId="3463006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themeColor="text1"/>
                <w:kern w:val="2"/>
                <w:sz w:val="21"/>
                <w:szCs w:val="21"/>
                <w:u w:val="none"/>
                <w:lang w:val="en"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 xml:space="preserve">3193.8 </w:t>
            </w:r>
          </w:p>
        </w:tc>
      </w:tr>
    </w:tbl>
    <w:p w14:paraId="16FE71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黑体" w:hAnsi="黑体" w:eastAsia="黑体" w:cs="黑体"/>
          <w:color w:val="000000" w:themeColor="text1"/>
          <w:spacing w:val="-6"/>
          <w:kern w:val="2"/>
          <w:sz w:val="32"/>
          <w:szCs w:val="32"/>
          <w:highlight w:val="none"/>
          <w:u w:val="none"/>
          <w:lang w:val="en-US" w:eastAsia="zh-CN" w:bidi="ar-SA"/>
          <w14:textFill>
            <w14:solidFill>
              <w14:schemeClr w14:val="tx1"/>
            </w14:solidFill>
          </w14:textFill>
        </w:rPr>
      </w:pPr>
      <w:r>
        <w:rPr>
          <w:rFonts w:hint="eastAsia" w:ascii="黑体" w:hAnsi="黑体" w:eastAsia="黑体" w:cs="黑体"/>
          <w:color w:val="000000" w:themeColor="text1"/>
          <w:spacing w:val="-6"/>
          <w:kern w:val="2"/>
          <w:sz w:val="32"/>
          <w:szCs w:val="32"/>
          <w:highlight w:val="none"/>
          <w:u w:val="none"/>
          <w:lang w:val="en-US" w:eastAsia="zh-CN" w:bidi="ar-SA"/>
          <w14:textFill>
            <w14:solidFill>
              <w14:schemeClr w14:val="tx1"/>
            </w14:solidFill>
          </w14:textFill>
        </w:rPr>
        <w:t>二、水利、环境和公共设施管理业</w:t>
      </w:r>
    </w:p>
    <w:p w14:paraId="353B56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9" w:firstLineChars="200"/>
        <w:jc w:val="both"/>
        <w:textAlignment w:val="auto"/>
        <w:outlineLvl w:val="2"/>
        <w:rPr>
          <w:rFonts w:hint="eastAsia" w:ascii="楷体_GB2312" w:hAnsi="楷体_GB2312" w:eastAsia="楷体_GB2312" w:cs="楷体_GB2312"/>
          <w:b/>
          <w:bCs/>
          <w:color w:val="000000" w:themeColor="text1"/>
          <w:spacing w:val="-6"/>
          <w:kern w:val="2"/>
          <w:sz w:val="32"/>
          <w:szCs w:val="32"/>
          <w:highlight w:val="none"/>
          <w:u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pacing w:val="-6"/>
          <w:kern w:val="2"/>
          <w:sz w:val="32"/>
          <w:szCs w:val="32"/>
          <w:highlight w:val="none"/>
          <w:u w:val="none"/>
          <w:lang w:val="en-US" w:eastAsia="zh-CN" w:bidi="ar-SA"/>
          <w14:textFill>
            <w14:solidFill>
              <w14:schemeClr w14:val="tx1"/>
            </w14:solidFill>
          </w14:textFill>
        </w:rPr>
        <w:t>（一）法人单位数和从业人员</w:t>
      </w:r>
    </w:p>
    <w:p w14:paraId="2CA757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2023年末，全县共有水利、环境和公共设施管理业法人单位50个，从业人员1313人。其中，行政事业及非企业法人单位7个，从业人员93人。</w:t>
      </w:r>
    </w:p>
    <w:p w14:paraId="716692CC">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9" w:firstLineChars="200"/>
        <w:jc w:val="both"/>
        <w:textAlignment w:val="auto"/>
        <w:outlineLvl w:val="2"/>
        <w:rPr>
          <w:rFonts w:hint="eastAsia" w:ascii="楷体_GB2312" w:hAnsi="楷体_GB2312" w:eastAsia="楷体_GB2312" w:cs="楷体_GB2312"/>
          <w:b/>
          <w:bCs/>
          <w:color w:val="000000" w:themeColor="text1"/>
          <w:spacing w:val="-6"/>
          <w:kern w:val="2"/>
          <w:sz w:val="32"/>
          <w:szCs w:val="32"/>
          <w:u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pacing w:val="-6"/>
          <w:kern w:val="2"/>
          <w:sz w:val="32"/>
          <w:szCs w:val="32"/>
          <w:u w:val="none"/>
          <w:lang w:val="en-US" w:eastAsia="zh-CN" w:bidi="ar-SA"/>
          <w14:textFill>
            <w14:solidFill>
              <w14:schemeClr w14:val="tx1"/>
            </w14:solidFill>
          </w14:textFill>
        </w:rPr>
        <w:t>主要经济指标</w:t>
      </w:r>
    </w:p>
    <w:p w14:paraId="2D404EC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2"/>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2023年末，全县水利、环境和公共设施管理业企业法人单位资产总计330714.7万元，负债合计216782.2万元。全年实现营业收入30266.8万元。</w:t>
      </w:r>
    </w:p>
    <w:p w14:paraId="1E6BCF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全县水利、环境和公共设施管理业行政事业及非企业法人单位年末资产9000.0万元，比2018年末增长210.3%。本年支出（费用）合计1000.0万元，比2018年增长233.3%。</w:t>
      </w:r>
    </w:p>
    <w:p w14:paraId="406C8C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黑体" w:hAnsi="黑体" w:eastAsia="黑体" w:cs="黑体"/>
          <w:color w:val="000000" w:themeColor="text1"/>
          <w:spacing w:val="-6"/>
          <w:kern w:val="2"/>
          <w:sz w:val="32"/>
          <w:szCs w:val="32"/>
          <w:u w:val="none"/>
          <w:lang w:val="en-US" w:eastAsia="zh-CN" w:bidi="ar-SA"/>
          <w14:textFill>
            <w14:solidFill>
              <w14:schemeClr w14:val="tx1"/>
            </w14:solidFill>
          </w14:textFill>
        </w:rPr>
      </w:pPr>
      <w:r>
        <w:rPr>
          <w:rFonts w:hint="eastAsia" w:ascii="黑体" w:hAnsi="黑体" w:eastAsia="黑体" w:cs="黑体"/>
          <w:color w:val="000000" w:themeColor="text1"/>
          <w:spacing w:val="-6"/>
          <w:kern w:val="2"/>
          <w:sz w:val="32"/>
          <w:szCs w:val="32"/>
          <w:u w:val="none"/>
          <w:lang w:val="en-US" w:eastAsia="zh-CN" w:bidi="ar-SA"/>
          <w14:textFill>
            <w14:solidFill>
              <w14:schemeClr w14:val="tx1"/>
            </w14:solidFill>
          </w14:textFill>
        </w:rPr>
        <w:t>三、居民服务、修理和其他服务业</w:t>
      </w:r>
    </w:p>
    <w:p w14:paraId="67ECA2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9" w:firstLineChars="200"/>
        <w:jc w:val="both"/>
        <w:textAlignment w:val="auto"/>
        <w:outlineLvl w:val="2"/>
        <w:rPr>
          <w:rFonts w:hint="eastAsia" w:ascii="楷体_GB2312" w:hAnsi="楷体_GB2312" w:eastAsia="楷体_GB2312" w:cs="楷体_GB2312"/>
          <w:b/>
          <w:bCs/>
          <w:color w:val="000000" w:themeColor="text1"/>
          <w:spacing w:val="-6"/>
          <w:kern w:val="2"/>
          <w:sz w:val="32"/>
          <w:szCs w:val="32"/>
          <w:u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pacing w:val="-6"/>
          <w:kern w:val="2"/>
          <w:sz w:val="32"/>
          <w:szCs w:val="32"/>
          <w:u w:val="none"/>
          <w:lang w:val="en-US" w:eastAsia="zh-CN" w:bidi="ar-SA"/>
          <w14:textFill>
            <w14:solidFill>
              <w14:schemeClr w14:val="tx1"/>
            </w14:solidFill>
          </w14:textFill>
        </w:rPr>
        <w:t>（一）企业法人单位数和从业人员</w:t>
      </w:r>
    </w:p>
    <w:p w14:paraId="4A3B33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u w:val="none"/>
          <w:lang w:val="en" w:eastAsia="zh-CN" w:bidi="ar-SA"/>
          <w14:textFill>
            <w14:solidFill>
              <w14:schemeClr w14:val="tx1"/>
            </w14:solidFill>
          </w14:textFill>
        </w:rPr>
        <w:t>2023年末，</w:t>
      </w:r>
      <w:r>
        <w:rPr>
          <w:rFonts w:hint="eastAsia" w:ascii="仿宋_GB2312" w:hAnsi="仿宋_GB2312" w:eastAsia="仿宋_GB2312" w:cs="仿宋_GB2312"/>
          <w:color w:val="000000" w:themeColor="text1"/>
          <w:kern w:val="2"/>
          <w:sz w:val="32"/>
          <w:szCs w:val="32"/>
          <w:u w:val="none"/>
          <w:lang w:val="en" w:eastAsia="zh-CN" w:bidi="ar-SA"/>
          <w14:textFill>
            <w14:solidFill>
              <w14:schemeClr w14:val="tx1"/>
            </w14:solidFill>
          </w14:textFill>
        </w:rPr>
        <w:t>全县</w:t>
      </w:r>
      <w:r>
        <w:rPr>
          <w:rFonts w:hint="default" w:ascii="仿宋_GB2312" w:hAnsi="仿宋_GB2312" w:eastAsia="仿宋_GB2312" w:cs="仿宋_GB2312"/>
          <w:color w:val="000000" w:themeColor="text1"/>
          <w:kern w:val="2"/>
          <w:sz w:val="32"/>
          <w:szCs w:val="32"/>
          <w:u w:val="none"/>
          <w:lang w:val="en" w:eastAsia="zh-CN" w:bidi="ar-SA"/>
          <w14:textFill>
            <w14:solidFill>
              <w14:schemeClr w14:val="tx1"/>
            </w14:solidFill>
          </w14:textFill>
        </w:rPr>
        <w:t>共有居民服务、修理和其他服务业企业法人单位</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60</w:t>
      </w:r>
      <w:r>
        <w:rPr>
          <w:rFonts w:hint="default" w:ascii="仿宋_GB2312" w:hAnsi="仿宋_GB2312" w:eastAsia="仿宋_GB2312" w:cs="仿宋_GB2312"/>
          <w:color w:val="000000" w:themeColor="text1"/>
          <w:kern w:val="2"/>
          <w:sz w:val="32"/>
          <w:szCs w:val="32"/>
          <w:u w:val="none"/>
          <w:lang w:val="en" w:eastAsia="zh-CN" w:bidi="ar-SA"/>
          <w14:textFill>
            <w14:solidFill>
              <w14:schemeClr w14:val="tx1"/>
            </w14:solidFill>
          </w14:textFill>
        </w:rPr>
        <w:t>个，</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全部为内资企业，</w:t>
      </w:r>
      <w:r>
        <w:rPr>
          <w:rFonts w:hint="default" w:ascii="仿宋_GB2312" w:hAnsi="仿宋_GB2312" w:eastAsia="仿宋_GB2312" w:cs="仿宋_GB2312"/>
          <w:color w:val="000000" w:themeColor="text1"/>
          <w:kern w:val="2"/>
          <w:sz w:val="32"/>
          <w:szCs w:val="32"/>
          <w:u w:val="none"/>
          <w:lang w:val="en" w:eastAsia="zh-CN" w:bidi="ar-SA"/>
          <w14:textFill>
            <w14:solidFill>
              <w14:schemeClr w14:val="tx1"/>
            </w14:solidFill>
          </w14:textFill>
        </w:rPr>
        <w:t>从业人员</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403</w:t>
      </w:r>
      <w:r>
        <w:rPr>
          <w:rFonts w:hint="default" w:ascii="仿宋_GB2312" w:hAnsi="仿宋_GB2312" w:eastAsia="仿宋_GB2312" w:cs="仿宋_GB2312"/>
          <w:color w:val="000000" w:themeColor="text1"/>
          <w:kern w:val="2"/>
          <w:sz w:val="32"/>
          <w:szCs w:val="32"/>
          <w:u w:val="none"/>
          <w:lang w:val="en" w:eastAsia="zh-CN" w:bidi="ar-SA"/>
          <w14:textFill>
            <w14:solidFill>
              <w14:schemeClr w14:val="tx1"/>
            </w14:solidFill>
          </w14:textFill>
        </w:rPr>
        <w:t>人（详见表5-</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3</w:t>
      </w:r>
      <w:r>
        <w:rPr>
          <w:rFonts w:hint="default" w:ascii="仿宋_GB2312" w:hAnsi="仿宋_GB2312" w:eastAsia="仿宋_GB2312" w:cs="仿宋_GB2312"/>
          <w:color w:val="000000" w:themeColor="text1"/>
          <w:kern w:val="2"/>
          <w:sz w:val="32"/>
          <w:szCs w:val="32"/>
          <w:u w:val="none"/>
          <w:lang w:val="en"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p>
    <w:p w14:paraId="2424D9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00000" w:themeColor="text1"/>
          <w:spacing w:val="0"/>
          <w:kern w:val="0"/>
          <w:sz w:val="24"/>
          <w:szCs w:val="24"/>
          <w:highlight w:val="none"/>
          <w:lang w:val="en-US" w:eastAsia="zh-CN" w:bidi="ar"/>
          <w14:textFill>
            <w14:solidFill>
              <w14:schemeClr w14:val="tx1"/>
            </w14:solidFill>
          </w14:textFill>
        </w:rPr>
      </w:pPr>
      <w:r>
        <w:rPr>
          <w:rFonts w:hint="eastAsia" w:ascii="Times New Roman" w:hAnsi="Times New Roman" w:eastAsia="宋体" w:cs="宋体"/>
          <w:b/>
          <w:i w:val="0"/>
          <w:caps w:val="0"/>
          <w:color w:val="000000" w:themeColor="text1"/>
          <w:spacing w:val="0"/>
          <w:kern w:val="0"/>
          <w:sz w:val="24"/>
          <w:szCs w:val="24"/>
          <w:highlight w:val="none"/>
          <w:lang w:val="en-US" w:eastAsia="zh-CN" w:bidi="ar"/>
          <w14:textFill>
            <w14:solidFill>
              <w14:schemeClr w14:val="tx1"/>
            </w14:solidFill>
          </w14:textFill>
        </w:rPr>
        <w:t>表5-3　按行业大类分组的居民服务、修理和其他服务业</w:t>
      </w:r>
    </w:p>
    <w:p w14:paraId="4E1F07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00000" w:themeColor="text1"/>
          <w:spacing w:val="0"/>
          <w:kern w:val="0"/>
          <w:sz w:val="24"/>
          <w:szCs w:val="24"/>
          <w:highlight w:val="none"/>
          <w:lang w:val="en-US" w:eastAsia="zh-CN" w:bidi="ar"/>
          <w14:textFill>
            <w14:solidFill>
              <w14:schemeClr w14:val="tx1"/>
            </w14:solidFill>
          </w14:textFill>
        </w:rPr>
      </w:pPr>
      <w:r>
        <w:rPr>
          <w:rFonts w:hint="eastAsia" w:ascii="Times New Roman" w:hAnsi="Times New Roman" w:eastAsia="宋体" w:cs="宋体"/>
          <w:b/>
          <w:i w:val="0"/>
          <w:caps w:val="0"/>
          <w:color w:val="000000" w:themeColor="text1"/>
          <w:spacing w:val="0"/>
          <w:kern w:val="0"/>
          <w:sz w:val="24"/>
          <w:szCs w:val="24"/>
          <w:highlight w:val="none"/>
          <w:lang w:val="en-US" w:eastAsia="zh-CN" w:bidi="ar"/>
          <w14:textFill>
            <w14:solidFill>
              <w14:schemeClr w14:val="tx1"/>
            </w14:solidFill>
          </w14:textFill>
        </w:rPr>
        <w:t>企业法人单位数和从业人员</w:t>
      </w:r>
    </w:p>
    <w:tbl>
      <w:tblPr>
        <w:tblStyle w:val="9"/>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145"/>
        <w:gridCol w:w="2354"/>
        <w:gridCol w:w="1804"/>
      </w:tblGrid>
      <w:tr w14:paraId="45F8FC1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495" w:type="pct"/>
            <w:tcBorders>
              <w:top w:val="single" w:color="auto" w:sz="12" w:space="0"/>
              <w:left w:val="nil"/>
              <w:bottom w:val="single" w:color="auto" w:sz="4" w:space="0"/>
              <w:right w:val="single" w:color="auto" w:sz="4" w:space="0"/>
            </w:tcBorders>
            <w:noWrap w:val="0"/>
            <w:vAlign w:val="center"/>
          </w:tcPr>
          <w:p w14:paraId="220A4A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p>
        </w:tc>
        <w:tc>
          <w:tcPr>
            <w:tcW w:w="1417" w:type="pct"/>
            <w:tcBorders>
              <w:top w:val="single" w:color="auto" w:sz="12" w:space="0"/>
              <w:left w:val="single" w:color="auto" w:sz="4" w:space="0"/>
              <w:bottom w:val="single" w:color="auto" w:sz="4" w:space="0"/>
              <w:right w:val="single" w:color="auto" w:sz="4" w:space="0"/>
            </w:tcBorders>
            <w:noWrap w:val="0"/>
            <w:vAlign w:val="center"/>
          </w:tcPr>
          <w:p w14:paraId="5945F0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宋体"/>
                <w:b/>
                <w:bCs/>
                <w:color w:val="000000" w:themeColor="text1"/>
                <w:kern w:val="0"/>
                <w:sz w:val="21"/>
                <w:szCs w:val="21"/>
                <w:highlight w:val="none"/>
                <w:lang w:val="en-US" w:eastAsia="zh-CN" w:bidi="ar"/>
                <w14:textFill>
                  <w14:solidFill>
                    <w14:schemeClr w14:val="tx1"/>
                  </w14:solidFill>
                </w14:textFill>
              </w:rPr>
              <w:t>企业法人单位</w:t>
            </w:r>
          </w:p>
          <w:p w14:paraId="43EF7C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themeColor="text1"/>
                <w:sz w:val="21"/>
                <w:szCs w:val="21"/>
                <w:highlight w:val="none"/>
                <w14:textFill>
                  <w14:solidFill>
                    <w14:schemeClr w14:val="tx1"/>
                  </w14:solidFill>
                </w14:textFill>
              </w:rPr>
            </w:pPr>
            <w:r>
              <w:rPr>
                <w:rFonts w:hint="eastAsia" w:ascii="Times New Roman" w:hAnsi="Times New Roman" w:eastAsia="宋体" w:cs="宋体"/>
                <w:b/>
                <w:bCs/>
                <w:color w:val="000000" w:themeColor="text1"/>
                <w:kern w:val="0"/>
                <w:sz w:val="21"/>
                <w:szCs w:val="21"/>
                <w:highlight w:val="none"/>
                <w:lang w:val="en-US" w:eastAsia="zh-CN" w:bidi="ar"/>
                <w14:textFill>
                  <w14:solidFill>
                    <w14:schemeClr w14:val="tx1"/>
                  </w14:solidFill>
                </w14:textFill>
              </w:rPr>
              <w:t>（个）</w:t>
            </w:r>
          </w:p>
        </w:tc>
        <w:tc>
          <w:tcPr>
            <w:tcW w:w="1086" w:type="pct"/>
            <w:tcBorders>
              <w:top w:val="single" w:color="auto" w:sz="12" w:space="0"/>
              <w:left w:val="single" w:color="auto" w:sz="4" w:space="0"/>
              <w:bottom w:val="single" w:color="auto" w:sz="4" w:space="0"/>
              <w:right w:val="nil"/>
            </w:tcBorders>
            <w:noWrap w:val="0"/>
            <w:vAlign w:val="center"/>
          </w:tcPr>
          <w:p w14:paraId="7E9D2E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宋体"/>
                <w:b/>
                <w:bCs/>
                <w:color w:val="000000" w:themeColor="text1"/>
                <w:kern w:val="0"/>
                <w:sz w:val="21"/>
                <w:szCs w:val="21"/>
                <w:highlight w:val="none"/>
                <w:lang w:val="en-US" w:eastAsia="zh-CN" w:bidi="ar"/>
                <w14:textFill>
                  <w14:solidFill>
                    <w14:schemeClr w14:val="tx1"/>
                  </w14:solidFill>
                </w14:textFill>
              </w:rPr>
              <w:t>从业人员</w:t>
            </w:r>
          </w:p>
          <w:p w14:paraId="327551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themeColor="text1"/>
                <w:sz w:val="21"/>
                <w:szCs w:val="21"/>
                <w:highlight w:val="none"/>
                <w14:textFill>
                  <w14:solidFill>
                    <w14:schemeClr w14:val="tx1"/>
                  </w14:solidFill>
                </w14:textFill>
              </w:rPr>
            </w:pPr>
            <w:r>
              <w:rPr>
                <w:rFonts w:hint="eastAsia" w:ascii="Times New Roman" w:hAnsi="Times New Roman" w:eastAsia="宋体" w:cs="宋体"/>
                <w:b/>
                <w:bCs/>
                <w:color w:val="000000" w:themeColor="text1"/>
                <w:kern w:val="0"/>
                <w:sz w:val="21"/>
                <w:szCs w:val="21"/>
                <w:highlight w:val="none"/>
                <w:lang w:val="en-US" w:eastAsia="zh-CN" w:bidi="ar"/>
                <w14:textFill>
                  <w14:solidFill>
                    <w14:schemeClr w14:val="tx1"/>
                  </w14:solidFill>
                </w14:textFill>
              </w:rPr>
              <w:t>（人）</w:t>
            </w:r>
          </w:p>
        </w:tc>
      </w:tr>
      <w:tr w14:paraId="7A064A6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single" w:color="auto" w:sz="4" w:space="0"/>
              <w:left w:val="nil"/>
              <w:bottom w:val="nil"/>
              <w:right w:val="single" w:color="auto" w:sz="4" w:space="0"/>
            </w:tcBorders>
            <w:noWrap w:val="0"/>
            <w:vAlign w:val="center"/>
          </w:tcPr>
          <w:p w14:paraId="425315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b/>
                <w:color w:val="000000" w:themeColor="text1"/>
                <w:kern w:val="0"/>
                <w:sz w:val="21"/>
                <w:szCs w:val="21"/>
                <w:highlight w:val="none"/>
                <w:lang w:val="en-US" w:eastAsia="zh-CN" w:bidi="ar"/>
                <w14:textFill>
                  <w14:solidFill>
                    <w14:schemeClr w14:val="tx1"/>
                  </w14:solidFill>
                </w14:textFill>
              </w:rPr>
              <w:t>合　计</w:t>
            </w:r>
          </w:p>
        </w:tc>
        <w:tc>
          <w:tcPr>
            <w:tcW w:w="1417" w:type="pct"/>
            <w:tcBorders>
              <w:top w:val="single" w:color="auto" w:sz="4" w:space="0"/>
              <w:left w:val="single" w:color="auto" w:sz="4" w:space="0"/>
              <w:bottom w:val="nil"/>
              <w:right w:val="single" w:color="auto" w:sz="4" w:space="0"/>
            </w:tcBorders>
            <w:noWrap w:val="0"/>
            <w:vAlign w:val="center"/>
          </w:tcPr>
          <w:p w14:paraId="62C4E2D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heme="minorEastAsia" w:hAnsiTheme="minorEastAsia" w:eastAsiaTheme="minorEastAsia" w:cstheme="minorEastAsia"/>
                <w:b/>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val="en-US" w:eastAsia="zh-CN" w:bidi="ar-SA"/>
                <w14:textFill>
                  <w14:solidFill>
                    <w14:schemeClr w14:val="tx1"/>
                  </w14:solidFill>
                </w14:textFill>
              </w:rPr>
              <w:t>60</w:t>
            </w:r>
          </w:p>
        </w:tc>
        <w:tc>
          <w:tcPr>
            <w:tcW w:w="1897" w:type="dxa"/>
            <w:tcBorders>
              <w:top w:val="single" w:color="auto" w:sz="4" w:space="0"/>
              <w:left w:val="single" w:color="auto" w:sz="4" w:space="0"/>
              <w:bottom w:val="nil"/>
              <w:right w:val="nil"/>
            </w:tcBorders>
            <w:noWrap w:val="0"/>
            <w:vAlign w:val="center"/>
          </w:tcPr>
          <w:p w14:paraId="6A843C4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heme="minorEastAsia" w:hAnsiTheme="minorEastAsia" w:eastAsiaTheme="minorEastAsia" w:cstheme="minorEastAsia"/>
                <w:b/>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val="en-US" w:eastAsia="zh-CN" w:bidi="ar-SA"/>
                <w14:textFill>
                  <w14:solidFill>
                    <w14:schemeClr w14:val="tx1"/>
                  </w14:solidFill>
                </w14:textFill>
              </w:rPr>
              <w:t>403</w:t>
            </w:r>
          </w:p>
        </w:tc>
      </w:tr>
      <w:tr w14:paraId="518205A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nil"/>
              <w:left w:val="nil"/>
              <w:bottom w:val="nil"/>
              <w:right w:val="single" w:color="auto" w:sz="4" w:space="0"/>
            </w:tcBorders>
            <w:noWrap w:val="0"/>
            <w:vAlign w:val="center"/>
          </w:tcPr>
          <w:p w14:paraId="48916D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居民服务业</w:t>
            </w:r>
          </w:p>
        </w:tc>
        <w:tc>
          <w:tcPr>
            <w:tcW w:w="1417" w:type="pct"/>
            <w:tcBorders>
              <w:top w:val="nil"/>
              <w:left w:val="single" w:color="auto" w:sz="4" w:space="0"/>
              <w:bottom w:val="nil"/>
              <w:right w:val="single" w:color="auto" w:sz="4" w:space="0"/>
            </w:tcBorders>
            <w:noWrap w:val="0"/>
            <w:vAlign w:val="center"/>
          </w:tcPr>
          <w:p w14:paraId="48B7684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19</w:t>
            </w:r>
          </w:p>
        </w:tc>
        <w:tc>
          <w:tcPr>
            <w:tcW w:w="1897" w:type="dxa"/>
            <w:tcBorders>
              <w:top w:val="nil"/>
              <w:left w:val="single" w:color="auto" w:sz="4" w:space="0"/>
              <w:bottom w:val="nil"/>
              <w:right w:val="nil"/>
            </w:tcBorders>
            <w:noWrap w:val="0"/>
            <w:vAlign w:val="center"/>
          </w:tcPr>
          <w:p w14:paraId="1FF10E6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94</w:t>
            </w:r>
          </w:p>
        </w:tc>
      </w:tr>
      <w:tr w14:paraId="304DB23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nil"/>
              <w:left w:val="nil"/>
              <w:bottom w:val="nil"/>
              <w:right w:val="single" w:color="auto" w:sz="4" w:space="0"/>
            </w:tcBorders>
            <w:noWrap w:val="0"/>
            <w:vAlign w:val="center"/>
          </w:tcPr>
          <w:p w14:paraId="023BBA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机动车、电子产品和日用产品修理业</w:t>
            </w:r>
          </w:p>
        </w:tc>
        <w:tc>
          <w:tcPr>
            <w:tcW w:w="1417" w:type="pct"/>
            <w:tcBorders>
              <w:top w:val="nil"/>
              <w:left w:val="single" w:color="auto" w:sz="4" w:space="0"/>
              <w:bottom w:val="nil"/>
              <w:right w:val="single" w:color="auto" w:sz="4" w:space="0"/>
            </w:tcBorders>
            <w:noWrap w:val="0"/>
            <w:vAlign w:val="center"/>
          </w:tcPr>
          <w:p w14:paraId="66F370D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30</w:t>
            </w:r>
          </w:p>
        </w:tc>
        <w:tc>
          <w:tcPr>
            <w:tcW w:w="1897" w:type="dxa"/>
            <w:tcBorders>
              <w:top w:val="nil"/>
              <w:left w:val="single" w:color="auto" w:sz="4" w:space="0"/>
              <w:bottom w:val="nil"/>
              <w:right w:val="nil"/>
            </w:tcBorders>
            <w:noWrap w:val="0"/>
            <w:vAlign w:val="center"/>
          </w:tcPr>
          <w:p w14:paraId="4E16CD9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104</w:t>
            </w:r>
          </w:p>
        </w:tc>
      </w:tr>
      <w:tr w14:paraId="04A6D09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nil"/>
              <w:left w:val="nil"/>
              <w:bottom w:val="single" w:color="auto" w:sz="12" w:space="0"/>
              <w:right w:val="single" w:color="auto" w:sz="4" w:space="0"/>
            </w:tcBorders>
            <w:noWrap w:val="0"/>
            <w:vAlign w:val="center"/>
          </w:tcPr>
          <w:p w14:paraId="323762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其他服务业</w:t>
            </w:r>
          </w:p>
        </w:tc>
        <w:tc>
          <w:tcPr>
            <w:tcW w:w="1417" w:type="pct"/>
            <w:tcBorders>
              <w:top w:val="nil"/>
              <w:left w:val="single" w:color="auto" w:sz="4" w:space="0"/>
              <w:bottom w:val="single" w:color="auto" w:sz="12" w:space="0"/>
              <w:right w:val="single" w:color="auto" w:sz="4" w:space="0"/>
            </w:tcBorders>
            <w:noWrap w:val="0"/>
            <w:vAlign w:val="center"/>
          </w:tcPr>
          <w:p w14:paraId="541EDA8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11</w:t>
            </w:r>
          </w:p>
        </w:tc>
        <w:tc>
          <w:tcPr>
            <w:tcW w:w="1897" w:type="dxa"/>
            <w:tcBorders>
              <w:top w:val="nil"/>
              <w:left w:val="single" w:color="auto" w:sz="4" w:space="0"/>
              <w:bottom w:val="single" w:color="auto" w:sz="12" w:space="0"/>
              <w:right w:val="nil"/>
            </w:tcBorders>
            <w:noWrap w:val="0"/>
            <w:vAlign w:val="center"/>
          </w:tcPr>
          <w:p w14:paraId="2826705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205</w:t>
            </w:r>
          </w:p>
        </w:tc>
      </w:tr>
    </w:tbl>
    <w:p w14:paraId="713A748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19" w:firstLineChars="200"/>
        <w:jc w:val="both"/>
        <w:textAlignment w:val="auto"/>
        <w:outlineLvl w:val="2"/>
        <w:rPr>
          <w:rFonts w:hint="eastAsia" w:ascii="楷体_GB2312" w:hAnsi="楷体_GB2312" w:eastAsia="楷体_GB2312" w:cs="楷体_GB2312"/>
          <w:b/>
          <w:bCs/>
          <w:color w:val="000000" w:themeColor="text1"/>
          <w:spacing w:val="-6"/>
          <w:kern w:val="2"/>
          <w:sz w:val="32"/>
          <w:szCs w:val="32"/>
          <w:u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pacing w:val="-6"/>
          <w:kern w:val="2"/>
          <w:sz w:val="32"/>
          <w:szCs w:val="32"/>
          <w:u w:val="none"/>
          <w:lang w:val="en-US" w:eastAsia="zh-CN" w:bidi="ar-SA"/>
          <w14:textFill>
            <w14:solidFill>
              <w14:schemeClr w14:val="tx1"/>
            </w14:solidFill>
          </w14:textFill>
        </w:rPr>
        <w:t>（二）主要经济指标</w:t>
      </w:r>
    </w:p>
    <w:p w14:paraId="221BA0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2023年末，全县居民服务、修理和其他服务业企业法人单位资产总计4942.4万元，负债合计2648.6万元。全年实现营业收入3982.7万元（详见表5-4）。</w:t>
      </w:r>
    </w:p>
    <w:p w14:paraId="6015E7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00000" w:themeColor="text1"/>
          <w:spacing w:val="0"/>
          <w:kern w:val="0"/>
          <w:sz w:val="24"/>
          <w:szCs w:val="24"/>
          <w:highlight w:val="none"/>
          <w:lang w:val="en-US" w:eastAsia="zh-CN" w:bidi="ar"/>
          <w14:textFill>
            <w14:solidFill>
              <w14:schemeClr w14:val="tx1"/>
            </w14:solidFill>
          </w14:textFill>
        </w:rPr>
      </w:pPr>
      <w:r>
        <w:rPr>
          <w:rFonts w:hint="eastAsia" w:ascii="Times New Roman" w:hAnsi="Times New Roman" w:eastAsia="宋体" w:cs="宋体"/>
          <w:b/>
          <w:i w:val="0"/>
          <w:caps w:val="0"/>
          <w:color w:val="000000" w:themeColor="text1"/>
          <w:spacing w:val="0"/>
          <w:kern w:val="0"/>
          <w:sz w:val="24"/>
          <w:szCs w:val="24"/>
          <w:highlight w:val="none"/>
          <w:lang w:val="en-US" w:eastAsia="zh-CN" w:bidi="ar"/>
          <w14:textFill>
            <w14:solidFill>
              <w14:schemeClr w14:val="tx1"/>
            </w14:solidFill>
          </w14:textFill>
        </w:rPr>
        <w:t>表5-4　按行业大类分组的居民服务、修理和其他服务业</w:t>
      </w:r>
    </w:p>
    <w:p w14:paraId="5A8304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00000" w:themeColor="text1"/>
          <w:spacing w:val="0"/>
          <w:kern w:val="0"/>
          <w:sz w:val="24"/>
          <w:szCs w:val="24"/>
          <w:highlight w:val="none"/>
          <w:lang w:val="en-US" w:eastAsia="zh-CN" w:bidi="ar"/>
          <w14:textFill>
            <w14:solidFill>
              <w14:schemeClr w14:val="tx1"/>
            </w14:solidFill>
          </w14:textFill>
        </w:rPr>
      </w:pPr>
      <w:r>
        <w:rPr>
          <w:rFonts w:hint="eastAsia" w:ascii="Times New Roman" w:hAnsi="Times New Roman" w:eastAsia="宋体" w:cs="宋体"/>
          <w:b/>
          <w:i w:val="0"/>
          <w:caps w:val="0"/>
          <w:color w:val="000000" w:themeColor="text1"/>
          <w:spacing w:val="0"/>
          <w:kern w:val="0"/>
          <w:sz w:val="24"/>
          <w:szCs w:val="24"/>
          <w:highlight w:val="none"/>
          <w:lang w:val="en-US" w:eastAsia="zh-CN" w:bidi="ar"/>
          <w14:textFill>
            <w14:solidFill>
              <w14:schemeClr w14:val="tx1"/>
            </w14:solidFill>
          </w14:textFill>
        </w:rPr>
        <w:t>企业法人单位主要经济指标</w:t>
      </w:r>
    </w:p>
    <w:tbl>
      <w:tblPr>
        <w:tblStyle w:val="9"/>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118"/>
        <w:gridCol w:w="1407"/>
        <w:gridCol w:w="1379"/>
        <w:gridCol w:w="1399"/>
      </w:tblGrid>
      <w:tr w14:paraId="4D85E1A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7" w:hRule="atLeast"/>
          <w:jc w:val="center"/>
        </w:trPr>
        <w:tc>
          <w:tcPr>
            <w:tcW w:w="2479" w:type="pct"/>
            <w:tcBorders>
              <w:top w:val="single" w:color="auto" w:sz="12" w:space="0"/>
              <w:left w:val="nil"/>
              <w:bottom w:val="single" w:color="auto" w:sz="4" w:space="0"/>
              <w:right w:val="single" w:color="auto" w:sz="4" w:space="0"/>
            </w:tcBorders>
            <w:noWrap w:val="0"/>
            <w:vAlign w:val="center"/>
          </w:tcPr>
          <w:p w14:paraId="56B086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　</w:t>
            </w:r>
          </w:p>
        </w:tc>
        <w:tc>
          <w:tcPr>
            <w:tcW w:w="847" w:type="pct"/>
            <w:tcBorders>
              <w:top w:val="single" w:color="auto" w:sz="12" w:space="0"/>
              <w:left w:val="single" w:color="auto" w:sz="4" w:space="0"/>
              <w:bottom w:val="single" w:color="auto" w:sz="4" w:space="0"/>
              <w:right w:val="single" w:color="auto" w:sz="4" w:space="0"/>
            </w:tcBorders>
            <w:noWrap w:val="0"/>
            <w:vAlign w:val="center"/>
          </w:tcPr>
          <w:p w14:paraId="03F760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themeColor="text1"/>
                <w:sz w:val="21"/>
                <w:szCs w:val="21"/>
                <w:highlight w:val="none"/>
                <w14:textFill>
                  <w14:solidFill>
                    <w14:schemeClr w14:val="tx1"/>
                  </w14:solidFill>
                </w14:textFill>
              </w:rPr>
            </w:pPr>
            <w:r>
              <w:rPr>
                <w:rFonts w:hint="eastAsia" w:ascii="Times New Roman" w:hAnsi="Times New Roman" w:eastAsia="宋体" w:cs="宋体"/>
                <w:b/>
                <w:bCs/>
                <w:color w:val="000000" w:themeColor="text1"/>
                <w:kern w:val="0"/>
                <w:sz w:val="21"/>
                <w:szCs w:val="21"/>
                <w:highlight w:val="none"/>
                <w:lang w:val="en-US" w:eastAsia="zh-CN" w:bidi="ar"/>
                <w14:textFill>
                  <w14:solidFill>
                    <w14:schemeClr w14:val="tx1"/>
                  </w14:solidFill>
                </w14:textFill>
              </w:rPr>
              <w:t>资产总计</w:t>
            </w:r>
          </w:p>
          <w:p w14:paraId="7EA578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Times New Roman"/>
                <w:color w:val="000000" w:themeColor="text1"/>
                <w:sz w:val="21"/>
                <w:szCs w:val="24"/>
                <w:highlight w:val="none"/>
                <w14:textFill>
                  <w14:solidFill>
                    <w14:schemeClr w14:val="tx1"/>
                  </w14:solidFill>
                </w14:textFill>
              </w:rPr>
            </w:pPr>
            <w:r>
              <w:rPr>
                <w:rFonts w:hint="eastAsia" w:ascii="Times New Roman" w:hAnsi="Times New Roman" w:eastAsia="宋体" w:cs="宋体"/>
                <w:b/>
                <w:bCs/>
                <w:color w:val="000000" w:themeColor="text1"/>
                <w:kern w:val="0"/>
                <w:sz w:val="21"/>
                <w:szCs w:val="21"/>
                <w:highlight w:val="none"/>
                <w:lang w:val="en-US" w:eastAsia="zh-CN" w:bidi="ar"/>
                <w14:textFill>
                  <w14:solidFill>
                    <w14:schemeClr w14:val="tx1"/>
                  </w14:solidFill>
                </w14:textFill>
              </w:rPr>
              <w:t>（万元）</w:t>
            </w:r>
          </w:p>
        </w:tc>
        <w:tc>
          <w:tcPr>
            <w:tcW w:w="830" w:type="pct"/>
            <w:tcBorders>
              <w:top w:val="single" w:color="auto" w:sz="12" w:space="0"/>
              <w:left w:val="single" w:color="auto" w:sz="4" w:space="0"/>
              <w:bottom w:val="single" w:color="auto" w:sz="4" w:space="0"/>
              <w:right w:val="single" w:color="auto" w:sz="4" w:space="0"/>
            </w:tcBorders>
            <w:noWrap w:val="0"/>
            <w:vAlign w:val="center"/>
          </w:tcPr>
          <w:p w14:paraId="333D5F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themeColor="text1"/>
                <w:sz w:val="21"/>
                <w:szCs w:val="21"/>
                <w:highlight w:val="none"/>
                <w14:textFill>
                  <w14:solidFill>
                    <w14:schemeClr w14:val="tx1"/>
                  </w14:solidFill>
                </w14:textFill>
              </w:rPr>
            </w:pPr>
            <w:r>
              <w:rPr>
                <w:rFonts w:hint="eastAsia" w:ascii="Times New Roman" w:hAnsi="Times New Roman" w:eastAsia="宋体" w:cs="宋体"/>
                <w:b/>
                <w:bCs/>
                <w:color w:val="000000" w:themeColor="text1"/>
                <w:kern w:val="0"/>
                <w:sz w:val="21"/>
                <w:szCs w:val="21"/>
                <w:highlight w:val="none"/>
                <w:lang w:val="en-US" w:eastAsia="zh-CN" w:bidi="ar"/>
                <w14:textFill>
                  <w14:solidFill>
                    <w14:schemeClr w14:val="tx1"/>
                  </w14:solidFill>
                </w14:textFill>
              </w:rPr>
              <w:t>负债合计</w:t>
            </w:r>
          </w:p>
          <w:p w14:paraId="08825A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themeColor="text1"/>
                <w:sz w:val="21"/>
                <w:szCs w:val="21"/>
                <w:highlight w:val="none"/>
                <w14:textFill>
                  <w14:solidFill>
                    <w14:schemeClr w14:val="tx1"/>
                  </w14:solidFill>
                </w14:textFill>
              </w:rPr>
            </w:pPr>
            <w:r>
              <w:rPr>
                <w:rFonts w:hint="eastAsia" w:ascii="Times New Roman" w:hAnsi="Times New Roman" w:eastAsia="宋体" w:cs="宋体"/>
                <w:b/>
                <w:bCs/>
                <w:color w:val="000000" w:themeColor="text1"/>
                <w:kern w:val="0"/>
                <w:sz w:val="21"/>
                <w:szCs w:val="21"/>
                <w:highlight w:val="none"/>
                <w:lang w:val="en-US" w:eastAsia="zh-CN" w:bidi="ar"/>
                <w14:textFill>
                  <w14:solidFill>
                    <w14:schemeClr w14:val="tx1"/>
                  </w14:solidFill>
                </w14:textFill>
              </w:rPr>
              <w:t>（万元）</w:t>
            </w:r>
          </w:p>
        </w:tc>
        <w:tc>
          <w:tcPr>
            <w:tcW w:w="842" w:type="pct"/>
            <w:tcBorders>
              <w:top w:val="single" w:color="auto" w:sz="12" w:space="0"/>
              <w:left w:val="single" w:color="auto" w:sz="4" w:space="0"/>
              <w:bottom w:val="single" w:color="auto" w:sz="4" w:space="0"/>
              <w:right w:val="nil"/>
            </w:tcBorders>
            <w:noWrap w:val="0"/>
            <w:vAlign w:val="center"/>
          </w:tcPr>
          <w:p w14:paraId="51B819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themeColor="text1"/>
                <w:sz w:val="21"/>
                <w:szCs w:val="21"/>
                <w:highlight w:val="none"/>
                <w14:textFill>
                  <w14:solidFill>
                    <w14:schemeClr w14:val="tx1"/>
                  </w14:solidFill>
                </w14:textFill>
              </w:rPr>
            </w:pPr>
            <w:r>
              <w:rPr>
                <w:rFonts w:hint="eastAsia" w:ascii="Times New Roman" w:hAnsi="Times New Roman" w:eastAsia="宋体" w:cs="宋体"/>
                <w:b/>
                <w:bCs/>
                <w:color w:val="000000" w:themeColor="text1"/>
                <w:kern w:val="0"/>
                <w:sz w:val="21"/>
                <w:szCs w:val="21"/>
                <w:highlight w:val="none"/>
                <w:lang w:val="en-US" w:eastAsia="zh-CN" w:bidi="ar"/>
                <w14:textFill>
                  <w14:solidFill>
                    <w14:schemeClr w14:val="tx1"/>
                  </w14:solidFill>
                </w14:textFill>
              </w:rPr>
              <w:t>营业收入</w:t>
            </w:r>
          </w:p>
          <w:p w14:paraId="6EFA1F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themeColor="text1"/>
                <w:sz w:val="21"/>
                <w:szCs w:val="21"/>
                <w:highlight w:val="none"/>
                <w14:textFill>
                  <w14:solidFill>
                    <w14:schemeClr w14:val="tx1"/>
                  </w14:solidFill>
                </w14:textFill>
              </w:rPr>
            </w:pPr>
            <w:r>
              <w:rPr>
                <w:rFonts w:hint="eastAsia" w:ascii="Times New Roman" w:hAnsi="Times New Roman" w:eastAsia="宋体" w:cs="宋体"/>
                <w:b/>
                <w:bCs/>
                <w:color w:val="000000" w:themeColor="text1"/>
                <w:kern w:val="0"/>
                <w:sz w:val="21"/>
                <w:szCs w:val="21"/>
                <w:highlight w:val="none"/>
                <w:lang w:val="en-US" w:eastAsia="zh-CN" w:bidi="ar"/>
                <w14:textFill>
                  <w14:solidFill>
                    <w14:schemeClr w14:val="tx1"/>
                  </w14:solidFill>
                </w14:textFill>
              </w:rPr>
              <w:t>（万元）</w:t>
            </w:r>
          </w:p>
        </w:tc>
      </w:tr>
      <w:tr w14:paraId="64F2966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single" w:color="auto" w:sz="4" w:space="0"/>
              <w:left w:val="nil"/>
              <w:bottom w:val="nil"/>
              <w:right w:val="single" w:color="auto" w:sz="4" w:space="0"/>
            </w:tcBorders>
            <w:noWrap w:val="0"/>
            <w:vAlign w:val="center"/>
          </w:tcPr>
          <w:p w14:paraId="56372F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b/>
                <w:color w:val="000000" w:themeColor="text1"/>
                <w:kern w:val="0"/>
                <w:sz w:val="21"/>
                <w:szCs w:val="21"/>
                <w:highlight w:val="none"/>
                <w:lang w:val="en-US" w:eastAsia="zh-CN" w:bidi="ar"/>
                <w14:textFill>
                  <w14:solidFill>
                    <w14:schemeClr w14:val="tx1"/>
                  </w14:solidFill>
                </w14:textFill>
              </w:rPr>
              <w:t>合　计</w:t>
            </w:r>
          </w:p>
        </w:tc>
        <w:tc>
          <w:tcPr>
            <w:tcW w:w="847" w:type="pct"/>
            <w:tcBorders>
              <w:top w:val="single" w:color="auto" w:sz="4" w:space="0"/>
              <w:left w:val="single" w:color="auto" w:sz="4" w:space="0"/>
              <w:bottom w:val="nil"/>
              <w:right w:val="single" w:color="auto" w:sz="4" w:space="0"/>
            </w:tcBorders>
            <w:noWrap w:val="0"/>
            <w:vAlign w:val="center"/>
          </w:tcPr>
          <w:p w14:paraId="77A4649D">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themeColor="text1"/>
                <w:kern w:val="2"/>
                <w:sz w:val="21"/>
                <w:szCs w:val="21"/>
                <w:u w:val="none"/>
                <w:lang w:val="en"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1"/>
                <w:szCs w:val="21"/>
                <w:u w:val="none"/>
                <w:lang w:val="en-US" w:eastAsia="zh-CN" w:bidi="ar"/>
                <w14:textFill>
                  <w14:solidFill>
                    <w14:schemeClr w14:val="tx1"/>
                  </w14:solidFill>
                </w14:textFill>
              </w:rPr>
              <w:t>4942.</w:t>
            </w:r>
            <w:r>
              <w:rPr>
                <w:rFonts w:hint="eastAsia" w:asciiTheme="minorEastAsia" w:hAnsiTheme="minorEastAsia" w:cstheme="minorEastAsia"/>
                <w:b/>
                <w:bCs/>
                <w:i w:val="0"/>
                <w:iCs w:val="0"/>
                <w:color w:val="000000" w:themeColor="text1"/>
                <w:kern w:val="0"/>
                <w:sz w:val="21"/>
                <w:szCs w:val="21"/>
                <w:u w:val="none"/>
                <w:lang w:val="en-US" w:eastAsia="zh-CN" w:bidi="ar"/>
                <w14:textFill>
                  <w14:solidFill>
                    <w14:schemeClr w14:val="tx1"/>
                  </w14:solidFill>
                </w14:textFill>
              </w:rPr>
              <w:t>4</w:t>
            </w:r>
            <w:r>
              <w:rPr>
                <w:rFonts w:hint="eastAsia" w:asciiTheme="minorEastAsia" w:hAnsiTheme="minorEastAsia" w:eastAsiaTheme="minorEastAsia" w:cstheme="minorEastAsia"/>
                <w:b/>
                <w:bCs/>
                <w:i w:val="0"/>
                <w:iCs w:val="0"/>
                <w:color w:val="000000" w:themeColor="text1"/>
                <w:kern w:val="0"/>
                <w:sz w:val="21"/>
                <w:szCs w:val="21"/>
                <w:u w:val="none"/>
                <w:lang w:val="en-US" w:eastAsia="zh-CN" w:bidi="ar"/>
                <w14:textFill>
                  <w14:solidFill>
                    <w14:schemeClr w14:val="tx1"/>
                  </w14:solidFill>
                </w14:textFill>
              </w:rPr>
              <w:t xml:space="preserve"> </w:t>
            </w:r>
          </w:p>
        </w:tc>
        <w:tc>
          <w:tcPr>
            <w:tcW w:w="830" w:type="pct"/>
            <w:tcBorders>
              <w:top w:val="single" w:color="auto" w:sz="4" w:space="0"/>
              <w:left w:val="single" w:color="auto" w:sz="4" w:space="0"/>
              <w:bottom w:val="nil"/>
              <w:right w:val="single" w:color="auto" w:sz="4" w:space="0"/>
            </w:tcBorders>
            <w:noWrap w:val="0"/>
            <w:vAlign w:val="center"/>
          </w:tcPr>
          <w:p w14:paraId="069A5928">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themeColor="text1"/>
                <w:kern w:val="2"/>
                <w:sz w:val="21"/>
                <w:szCs w:val="21"/>
                <w:u w:val="none"/>
                <w:lang w:val="en"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1"/>
                <w:szCs w:val="21"/>
                <w:u w:val="none"/>
                <w:lang w:val="en-US" w:eastAsia="zh-CN" w:bidi="ar"/>
                <w14:textFill>
                  <w14:solidFill>
                    <w14:schemeClr w14:val="tx1"/>
                  </w14:solidFill>
                </w14:textFill>
              </w:rPr>
              <w:t>2648.</w:t>
            </w:r>
            <w:r>
              <w:rPr>
                <w:rFonts w:hint="eastAsia" w:asciiTheme="minorEastAsia" w:hAnsiTheme="minorEastAsia" w:cstheme="minorEastAsia"/>
                <w:b/>
                <w:bCs/>
                <w:i w:val="0"/>
                <w:iCs w:val="0"/>
                <w:color w:val="000000" w:themeColor="text1"/>
                <w:kern w:val="0"/>
                <w:sz w:val="21"/>
                <w:szCs w:val="21"/>
                <w:u w:val="none"/>
                <w:lang w:val="en-US" w:eastAsia="zh-CN" w:bidi="ar"/>
                <w14:textFill>
                  <w14:solidFill>
                    <w14:schemeClr w14:val="tx1"/>
                  </w14:solidFill>
                </w14:textFill>
              </w:rPr>
              <w:t>6</w:t>
            </w:r>
          </w:p>
        </w:tc>
        <w:tc>
          <w:tcPr>
            <w:tcW w:w="842" w:type="pct"/>
            <w:tcBorders>
              <w:top w:val="single" w:color="auto" w:sz="4" w:space="0"/>
              <w:left w:val="single" w:color="auto" w:sz="4" w:space="0"/>
              <w:bottom w:val="nil"/>
              <w:right w:val="nil"/>
            </w:tcBorders>
            <w:noWrap w:val="0"/>
            <w:vAlign w:val="center"/>
          </w:tcPr>
          <w:p w14:paraId="4A7652BA">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themeColor="text1"/>
                <w:kern w:val="2"/>
                <w:sz w:val="21"/>
                <w:szCs w:val="21"/>
                <w:u w:val="none"/>
                <w:lang w:val="en"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1"/>
                <w:szCs w:val="21"/>
                <w:u w:val="none"/>
                <w:lang w:val="en-US" w:eastAsia="zh-CN" w:bidi="ar"/>
                <w14:textFill>
                  <w14:solidFill>
                    <w14:schemeClr w14:val="tx1"/>
                  </w14:solidFill>
                </w14:textFill>
              </w:rPr>
              <w:t>3982.</w:t>
            </w:r>
            <w:r>
              <w:rPr>
                <w:rFonts w:hint="eastAsia" w:asciiTheme="minorEastAsia" w:hAnsiTheme="minorEastAsia" w:cstheme="minorEastAsia"/>
                <w:b/>
                <w:bCs/>
                <w:i w:val="0"/>
                <w:iCs w:val="0"/>
                <w:color w:val="000000" w:themeColor="text1"/>
                <w:kern w:val="0"/>
                <w:sz w:val="21"/>
                <w:szCs w:val="21"/>
                <w:u w:val="none"/>
                <w:lang w:val="en-US" w:eastAsia="zh-CN" w:bidi="ar"/>
                <w14:textFill>
                  <w14:solidFill>
                    <w14:schemeClr w14:val="tx1"/>
                  </w14:solidFill>
                </w14:textFill>
              </w:rPr>
              <w:t>7</w:t>
            </w:r>
            <w:r>
              <w:rPr>
                <w:rFonts w:hint="eastAsia" w:asciiTheme="minorEastAsia" w:hAnsiTheme="minorEastAsia" w:eastAsiaTheme="minorEastAsia" w:cstheme="minorEastAsia"/>
                <w:b/>
                <w:bCs/>
                <w:i w:val="0"/>
                <w:iCs w:val="0"/>
                <w:color w:val="000000" w:themeColor="text1"/>
                <w:kern w:val="0"/>
                <w:sz w:val="21"/>
                <w:szCs w:val="21"/>
                <w:u w:val="none"/>
                <w:lang w:val="en-US" w:eastAsia="zh-CN" w:bidi="ar"/>
                <w14:textFill>
                  <w14:solidFill>
                    <w14:schemeClr w14:val="tx1"/>
                  </w14:solidFill>
                </w14:textFill>
              </w:rPr>
              <w:t xml:space="preserve"> </w:t>
            </w:r>
          </w:p>
        </w:tc>
      </w:tr>
      <w:tr w14:paraId="6923E5D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nil"/>
              <w:left w:val="nil"/>
              <w:bottom w:val="nil"/>
              <w:right w:val="single" w:color="auto" w:sz="4" w:space="0"/>
            </w:tcBorders>
            <w:noWrap w:val="0"/>
            <w:vAlign w:val="center"/>
          </w:tcPr>
          <w:p w14:paraId="72EFB8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居民服务业</w:t>
            </w:r>
          </w:p>
        </w:tc>
        <w:tc>
          <w:tcPr>
            <w:tcW w:w="847" w:type="pct"/>
            <w:tcBorders>
              <w:top w:val="nil"/>
              <w:left w:val="single" w:color="auto" w:sz="4" w:space="0"/>
              <w:bottom w:val="nil"/>
              <w:right w:val="single" w:color="auto" w:sz="4" w:space="0"/>
            </w:tcBorders>
            <w:noWrap w:val="0"/>
            <w:vAlign w:val="center"/>
          </w:tcPr>
          <w:p w14:paraId="136ECA4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themeColor="text1"/>
                <w:kern w:val="2"/>
                <w:sz w:val="21"/>
                <w:szCs w:val="21"/>
                <w:u w:val="none"/>
                <w:lang w:val="en"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1930.</w:t>
            </w:r>
            <w:r>
              <w:rPr>
                <w:rFonts w:hint="eastAsia" w:asciiTheme="minorEastAsia" w:hAnsiTheme="minorEastAsia" w:cstheme="minorEastAsia"/>
                <w:i w:val="0"/>
                <w:iCs w:val="0"/>
                <w:color w:val="000000" w:themeColor="text1"/>
                <w:kern w:val="0"/>
                <w:sz w:val="21"/>
                <w:szCs w:val="21"/>
                <w:u w:val="none"/>
                <w:lang w:val="en-US" w:eastAsia="zh-CN" w:bidi="ar"/>
                <w14:textFill>
                  <w14:solidFill>
                    <w14:schemeClr w14:val="tx1"/>
                  </w14:solidFill>
                </w14:textFill>
              </w:rPr>
              <w:t>7</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 xml:space="preserve"> </w:t>
            </w:r>
          </w:p>
        </w:tc>
        <w:tc>
          <w:tcPr>
            <w:tcW w:w="830" w:type="pct"/>
            <w:tcBorders>
              <w:top w:val="nil"/>
              <w:left w:val="single" w:color="auto" w:sz="4" w:space="0"/>
              <w:bottom w:val="nil"/>
              <w:right w:val="single" w:color="auto" w:sz="4" w:space="0"/>
            </w:tcBorders>
            <w:noWrap w:val="0"/>
            <w:vAlign w:val="center"/>
          </w:tcPr>
          <w:p w14:paraId="534292B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themeColor="text1"/>
                <w:kern w:val="2"/>
                <w:sz w:val="21"/>
                <w:szCs w:val="21"/>
                <w:u w:val="none"/>
                <w:lang w:val="en"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1085.</w:t>
            </w:r>
            <w:r>
              <w:rPr>
                <w:rFonts w:hint="eastAsia" w:asciiTheme="minorEastAsia" w:hAnsiTheme="minorEastAsia" w:cstheme="minorEastAsia"/>
                <w:i w:val="0"/>
                <w:iCs w:val="0"/>
                <w:color w:val="000000" w:themeColor="text1"/>
                <w:kern w:val="0"/>
                <w:sz w:val="21"/>
                <w:szCs w:val="21"/>
                <w:u w:val="none"/>
                <w:lang w:val="en-US" w:eastAsia="zh-CN" w:bidi="ar"/>
                <w14:textFill>
                  <w14:solidFill>
                    <w14:schemeClr w14:val="tx1"/>
                  </w14:solidFill>
                </w14:textFill>
              </w:rPr>
              <w:t>2</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 xml:space="preserve"> </w:t>
            </w:r>
          </w:p>
        </w:tc>
        <w:tc>
          <w:tcPr>
            <w:tcW w:w="842" w:type="pct"/>
            <w:tcBorders>
              <w:top w:val="nil"/>
              <w:left w:val="single" w:color="auto" w:sz="4" w:space="0"/>
              <w:bottom w:val="nil"/>
              <w:right w:val="nil"/>
            </w:tcBorders>
            <w:noWrap w:val="0"/>
            <w:vAlign w:val="center"/>
          </w:tcPr>
          <w:p w14:paraId="2885133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themeColor="text1"/>
                <w:kern w:val="2"/>
                <w:sz w:val="21"/>
                <w:szCs w:val="21"/>
                <w:u w:val="none"/>
                <w:lang w:val="en"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1634.</w:t>
            </w:r>
            <w:r>
              <w:rPr>
                <w:rFonts w:hint="eastAsia" w:asciiTheme="minorEastAsia" w:hAnsiTheme="minorEastAsia" w:cstheme="minorEastAsia"/>
                <w:i w:val="0"/>
                <w:iCs w:val="0"/>
                <w:color w:val="000000" w:themeColor="text1"/>
                <w:kern w:val="0"/>
                <w:sz w:val="21"/>
                <w:szCs w:val="21"/>
                <w:u w:val="none"/>
                <w:lang w:val="en-US" w:eastAsia="zh-CN" w:bidi="ar"/>
                <w14:textFill>
                  <w14:solidFill>
                    <w14:schemeClr w14:val="tx1"/>
                  </w14:solidFill>
                </w14:textFill>
              </w:rPr>
              <w:t>8</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 xml:space="preserve"> </w:t>
            </w:r>
          </w:p>
        </w:tc>
      </w:tr>
      <w:tr w14:paraId="616B6A4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nil"/>
              <w:left w:val="nil"/>
              <w:bottom w:val="nil"/>
              <w:right w:val="single" w:color="auto" w:sz="4" w:space="0"/>
            </w:tcBorders>
            <w:noWrap w:val="0"/>
            <w:vAlign w:val="center"/>
          </w:tcPr>
          <w:p w14:paraId="16F37E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机动车、电子产品和日用产品修理业</w:t>
            </w:r>
          </w:p>
        </w:tc>
        <w:tc>
          <w:tcPr>
            <w:tcW w:w="847" w:type="pct"/>
            <w:tcBorders>
              <w:top w:val="nil"/>
              <w:left w:val="single" w:color="auto" w:sz="4" w:space="0"/>
              <w:bottom w:val="nil"/>
              <w:right w:val="single" w:color="auto" w:sz="4" w:space="0"/>
            </w:tcBorders>
            <w:noWrap w:val="0"/>
            <w:vAlign w:val="center"/>
          </w:tcPr>
          <w:p w14:paraId="7FCD197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themeColor="text1"/>
                <w:kern w:val="2"/>
                <w:sz w:val="21"/>
                <w:szCs w:val="21"/>
                <w:u w:val="none"/>
                <w:lang w:val="en"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2604.</w:t>
            </w:r>
            <w:r>
              <w:rPr>
                <w:rFonts w:hint="eastAsia" w:asciiTheme="minorEastAsia" w:hAnsiTheme="minorEastAsia" w:cstheme="minorEastAsia"/>
                <w:i w:val="0"/>
                <w:iCs w:val="0"/>
                <w:color w:val="000000" w:themeColor="text1"/>
                <w:kern w:val="0"/>
                <w:sz w:val="21"/>
                <w:szCs w:val="21"/>
                <w:u w:val="none"/>
                <w:lang w:val="en-US" w:eastAsia="zh-CN" w:bidi="ar"/>
                <w14:textFill>
                  <w14:solidFill>
                    <w14:schemeClr w14:val="tx1"/>
                  </w14:solidFill>
                </w14:textFill>
              </w:rPr>
              <w:t>6</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 xml:space="preserve"> </w:t>
            </w:r>
          </w:p>
        </w:tc>
        <w:tc>
          <w:tcPr>
            <w:tcW w:w="830" w:type="pct"/>
            <w:tcBorders>
              <w:top w:val="nil"/>
              <w:left w:val="single" w:color="auto" w:sz="4" w:space="0"/>
              <w:bottom w:val="nil"/>
              <w:right w:val="single" w:color="auto" w:sz="4" w:space="0"/>
            </w:tcBorders>
            <w:noWrap w:val="0"/>
            <w:vAlign w:val="center"/>
          </w:tcPr>
          <w:p w14:paraId="2B36B2B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themeColor="text1"/>
                <w:kern w:val="2"/>
                <w:sz w:val="21"/>
                <w:szCs w:val="21"/>
                <w:u w:val="none"/>
                <w:lang w:val="en"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 xml:space="preserve">1423.2 </w:t>
            </w:r>
          </w:p>
        </w:tc>
        <w:tc>
          <w:tcPr>
            <w:tcW w:w="842" w:type="pct"/>
            <w:tcBorders>
              <w:top w:val="nil"/>
              <w:left w:val="single" w:color="auto" w:sz="4" w:space="0"/>
              <w:bottom w:val="nil"/>
              <w:right w:val="nil"/>
            </w:tcBorders>
            <w:noWrap w:val="0"/>
            <w:vAlign w:val="center"/>
          </w:tcPr>
          <w:p w14:paraId="6F01247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themeColor="text1"/>
                <w:kern w:val="2"/>
                <w:sz w:val="21"/>
                <w:szCs w:val="21"/>
                <w:u w:val="none"/>
                <w:lang w:val="en"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 xml:space="preserve">1750.7 </w:t>
            </w:r>
          </w:p>
        </w:tc>
      </w:tr>
      <w:tr w14:paraId="0E7A95D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nil"/>
              <w:left w:val="nil"/>
              <w:bottom w:val="single" w:color="auto" w:sz="12" w:space="0"/>
              <w:right w:val="single" w:color="auto" w:sz="4" w:space="0"/>
            </w:tcBorders>
            <w:noWrap w:val="0"/>
            <w:vAlign w:val="center"/>
          </w:tcPr>
          <w:p w14:paraId="44476C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其他服务业</w:t>
            </w:r>
          </w:p>
        </w:tc>
        <w:tc>
          <w:tcPr>
            <w:tcW w:w="847" w:type="pct"/>
            <w:tcBorders>
              <w:top w:val="nil"/>
              <w:left w:val="single" w:color="auto" w:sz="4" w:space="0"/>
              <w:bottom w:val="single" w:color="auto" w:sz="12" w:space="0"/>
              <w:right w:val="single" w:color="auto" w:sz="4" w:space="0"/>
            </w:tcBorders>
            <w:noWrap w:val="0"/>
            <w:vAlign w:val="center"/>
          </w:tcPr>
          <w:p w14:paraId="4F122E9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themeColor="text1"/>
                <w:kern w:val="2"/>
                <w:sz w:val="21"/>
                <w:szCs w:val="21"/>
                <w:u w:val="none"/>
                <w:lang w:val="en"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 xml:space="preserve">407.1 </w:t>
            </w:r>
          </w:p>
        </w:tc>
        <w:tc>
          <w:tcPr>
            <w:tcW w:w="830" w:type="pct"/>
            <w:tcBorders>
              <w:top w:val="nil"/>
              <w:left w:val="single" w:color="auto" w:sz="4" w:space="0"/>
              <w:bottom w:val="single" w:color="auto" w:sz="12" w:space="0"/>
              <w:right w:val="single" w:color="auto" w:sz="4" w:space="0"/>
            </w:tcBorders>
            <w:noWrap w:val="0"/>
            <w:vAlign w:val="center"/>
          </w:tcPr>
          <w:p w14:paraId="044BC34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themeColor="text1"/>
                <w:kern w:val="2"/>
                <w:sz w:val="21"/>
                <w:szCs w:val="21"/>
                <w:u w:val="none"/>
                <w:lang w:val="en"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140.</w:t>
            </w:r>
            <w:r>
              <w:rPr>
                <w:rFonts w:hint="eastAsia" w:asciiTheme="minorEastAsia" w:hAnsiTheme="minorEastAsia" w:cstheme="minorEastAsia"/>
                <w:i w:val="0"/>
                <w:iCs w:val="0"/>
                <w:color w:val="000000" w:themeColor="text1"/>
                <w:kern w:val="0"/>
                <w:sz w:val="21"/>
                <w:szCs w:val="21"/>
                <w:u w:val="none"/>
                <w:lang w:val="en-US" w:eastAsia="zh-CN" w:bidi="ar"/>
                <w14:textFill>
                  <w14:solidFill>
                    <w14:schemeClr w14:val="tx1"/>
                  </w14:solidFill>
                </w14:textFill>
              </w:rPr>
              <w:t>2</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 xml:space="preserve"> </w:t>
            </w:r>
          </w:p>
        </w:tc>
        <w:tc>
          <w:tcPr>
            <w:tcW w:w="842" w:type="pct"/>
            <w:tcBorders>
              <w:top w:val="nil"/>
              <w:left w:val="single" w:color="auto" w:sz="4" w:space="0"/>
              <w:bottom w:val="single" w:color="auto" w:sz="12" w:space="0"/>
              <w:right w:val="nil"/>
            </w:tcBorders>
            <w:noWrap w:val="0"/>
            <w:vAlign w:val="center"/>
          </w:tcPr>
          <w:p w14:paraId="2B6EBA1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themeColor="text1"/>
                <w:kern w:val="2"/>
                <w:sz w:val="21"/>
                <w:szCs w:val="21"/>
                <w:u w:val="none"/>
                <w:lang w:val="en"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 xml:space="preserve">597.2 </w:t>
            </w:r>
          </w:p>
        </w:tc>
      </w:tr>
    </w:tbl>
    <w:p w14:paraId="367E0A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6" w:firstLineChars="200"/>
        <w:jc w:val="both"/>
        <w:textAlignment w:val="auto"/>
        <w:outlineLvl w:val="1"/>
        <w:rPr>
          <w:rFonts w:hint="eastAsia" w:ascii="黑体" w:hAnsi="黑体" w:eastAsia="黑体" w:cs="黑体"/>
          <w:color w:val="000000" w:themeColor="text1"/>
          <w:spacing w:val="-6"/>
          <w:kern w:val="2"/>
          <w:sz w:val="32"/>
          <w:szCs w:val="32"/>
          <w:u w:val="none"/>
          <w:lang w:val="en-US" w:eastAsia="zh-CN" w:bidi="ar-SA"/>
          <w14:textFill>
            <w14:solidFill>
              <w14:schemeClr w14:val="tx1"/>
            </w14:solidFill>
          </w14:textFill>
        </w:rPr>
      </w:pPr>
      <w:r>
        <w:rPr>
          <w:rFonts w:hint="eastAsia" w:ascii="黑体" w:hAnsi="黑体" w:eastAsia="黑体" w:cs="黑体"/>
          <w:color w:val="000000" w:themeColor="text1"/>
          <w:spacing w:val="-6"/>
          <w:kern w:val="2"/>
          <w:sz w:val="32"/>
          <w:szCs w:val="32"/>
          <w:u w:val="none"/>
          <w:lang w:val="en-US" w:eastAsia="zh-CN" w:bidi="ar-SA"/>
          <w14:textFill>
            <w14:solidFill>
              <w14:schemeClr w14:val="tx1"/>
            </w14:solidFill>
          </w14:textFill>
        </w:rPr>
        <w:t>四、教育</w:t>
      </w:r>
    </w:p>
    <w:p w14:paraId="46FF36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9" w:firstLineChars="200"/>
        <w:jc w:val="both"/>
        <w:textAlignment w:val="auto"/>
        <w:outlineLvl w:val="2"/>
        <w:rPr>
          <w:rFonts w:hint="eastAsia" w:ascii="楷体_GB2312" w:hAnsi="楷体_GB2312" w:eastAsia="楷体_GB2312" w:cs="楷体_GB2312"/>
          <w:b/>
          <w:bCs/>
          <w:color w:val="000000" w:themeColor="text1"/>
          <w:spacing w:val="-6"/>
          <w:kern w:val="2"/>
          <w:sz w:val="32"/>
          <w:szCs w:val="32"/>
          <w:u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pacing w:val="-6"/>
          <w:kern w:val="2"/>
          <w:sz w:val="32"/>
          <w:szCs w:val="32"/>
          <w:u w:val="none"/>
          <w:lang w:val="en-US" w:eastAsia="zh-CN" w:bidi="ar-SA"/>
          <w14:textFill>
            <w14:solidFill>
              <w14:schemeClr w14:val="tx1"/>
            </w14:solidFill>
          </w14:textFill>
        </w:rPr>
        <w:t>（一）法人单位数和从业人员</w:t>
      </w:r>
    </w:p>
    <w:p w14:paraId="5EC691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2023年末，全县共有教育法人单位178个，从业人员4047人，分别比2018年末增长19.5%和49.1%。其中，行政事业及非企业法人单位120个，从业人员3560人，分别比2018年末增长6.2%和57.7%。</w:t>
      </w:r>
    </w:p>
    <w:p w14:paraId="65136D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9" w:firstLineChars="200"/>
        <w:jc w:val="both"/>
        <w:textAlignment w:val="auto"/>
        <w:outlineLvl w:val="2"/>
        <w:rPr>
          <w:rFonts w:hint="eastAsia" w:ascii="楷体_GB2312" w:hAnsi="楷体_GB2312" w:eastAsia="楷体_GB2312" w:cs="楷体_GB2312"/>
          <w:b/>
          <w:bCs/>
          <w:color w:val="000000" w:themeColor="text1"/>
          <w:spacing w:val="-6"/>
          <w:kern w:val="2"/>
          <w:sz w:val="32"/>
          <w:szCs w:val="32"/>
          <w:u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pacing w:val="-6"/>
          <w:kern w:val="2"/>
          <w:sz w:val="32"/>
          <w:szCs w:val="32"/>
          <w:u w:val="none"/>
          <w:lang w:val="en-US" w:eastAsia="zh-CN" w:bidi="ar-SA"/>
          <w14:textFill>
            <w14:solidFill>
              <w14:schemeClr w14:val="tx1"/>
            </w14:solidFill>
          </w14:textFill>
        </w:rPr>
        <w:t>（二）主要经济指标</w:t>
      </w:r>
    </w:p>
    <w:p w14:paraId="49D47B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2023年末，全县教育企业法人单位资产总计7708.5万元，负债合计1379.5万元。全年实现营业收入3695.7万元。</w:t>
      </w:r>
    </w:p>
    <w:p w14:paraId="017B50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全县教育行政事业及非企业法人单位年末资产68000.0万元，比2018年末增长108.0%。本年支出（费用）合计40000.0万元，比2018年增长66.0%。</w:t>
      </w:r>
    </w:p>
    <w:p w14:paraId="7C66B60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6" w:firstLineChars="200"/>
        <w:jc w:val="both"/>
        <w:textAlignment w:val="auto"/>
        <w:outlineLvl w:val="1"/>
        <w:rPr>
          <w:rFonts w:hint="eastAsia" w:ascii="黑体" w:hAnsi="黑体" w:eastAsia="黑体" w:cs="黑体"/>
          <w:color w:val="000000" w:themeColor="text1"/>
          <w:spacing w:val="-6"/>
          <w:kern w:val="2"/>
          <w:sz w:val="32"/>
          <w:szCs w:val="32"/>
          <w:u w:val="none"/>
          <w:lang w:val="en-US" w:eastAsia="zh-CN" w:bidi="ar-SA"/>
          <w14:textFill>
            <w14:solidFill>
              <w14:schemeClr w14:val="tx1"/>
            </w14:solidFill>
          </w14:textFill>
        </w:rPr>
      </w:pPr>
      <w:r>
        <w:rPr>
          <w:rFonts w:hint="eastAsia" w:ascii="黑体" w:hAnsi="黑体" w:eastAsia="黑体" w:cs="黑体"/>
          <w:color w:val="000000" w:themeColor="text1"/>
          <w:spacing w:val="-6"/>
          <w:kern w:val="2"/>
          <w:sz w:val="32"/>
          <w:szCs w:val="32"/>
          <w:u w:val="none"/>
          <w:lang w:val="en-US" w:eastAsia="zh-CN" w:bidi="ar-SA"/>
          <w14:textFill>
            <w14:solidFill>
              <w14:schemeClr w14:val="tx1"/>
            </w14:solidFill>
          </w14:textFill>
        </w:rPr>
        <w:t>五、卫生和社会工作</w:t>
      </w:r>
    </w:p>
    <w:p w14:paraId="384526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9" w:firstLineChars="200"/>
        <w:jc w:val="both"/>
        <w:textAlignment w:val="auto"/>
        <w:outlineLvl w:val="2"/>
        <w:rPr>
          <w:rFonts w:hint="eastAsia" w:ascii="楷体_GB2312" w:hAnsi="楷体_GB2312" w:eastAsia="楷体_GB2312" w:cs="楷体_GB2312"/>
          <w:b/>
          <w:bCs/>
          <w:color w:val="000000" w:themeColor="text1"/>
          <w:spacing w:val="-6"/>
          <w:kern w:val="2"/>
          <w:sz w:val="32"/>
          <w:szCs w:val="32"/>
          <w:u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pacing w:val="-6"/>
          <w:kern w:val="2"/>
          <w:sz w:val="32"/>
          <w:szCs w:val="32"/>
          <w:u w:val="none"/>
          <w:lang w:val="en-US" w:eastAsia="zh-CN" w:bidi="ar-SA"/>
          <w14:textFill>
            <w14:solidFill>
              <w14:schemeClr w14:val="tx1"/>
            </w14:solidFill>
          </w14:textFill>
        </w:rPr>
        <w:t>（一）法人单位数和从业人员</w:t>
      </w:r>
    </w:p>
    <w:p w14:paraId="4A96EA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2023年末，全县共有卫生和社会工作法人单位29个，从业人员1861人，其中，行政事业及非企业法人单位18个，从业人员1789人。</w:t>
      </w:r>
    </w:p>
    <w:p w14:paraId="017ED6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9" w:firstLineChars="200"/>
        <w:jc w:val="both"/>
        <w:textAlignment w:val="auto"/>
        <w:outlineLvl w:val="2"/>
        <w:rPr>
          <w:rFonts w:hint="eastAsia" w:ascii="楷体_GB2312" w:hAnsi="楷体_GB2312" w:eastAsia="楷体_GB2312" w:cs="楷体_GB2312"/>
          <w:b/>
          <w:bCs/>
          <w:color w:val="000000" w:themeColor="text1"/>
          <w:spacing w:val="-6"/>
          <w:kern w:val="2"/>
          <w:sz w:val="32"/>
          <w:szCs w:val="32"/>
          <w:u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pacing w:val="-6"/>
          <w:kern w:val="2"/>
          <w:sz w:val="32"/>
          <w:szCs w:val="32"/>
          <w:u w:val="none"/>
          <w:lang w:val="en-US" w:eastAsia="zh-CN" w:bidi="ar-SA"/>
          <w14:textFill>
            <w14:solidFill>
              <w14:schemeClr w14:val="tx1"/>
            </w14:solidFill>
          </w14:textFill>
        </w:rPr>
        <w:t>（二）主要经济指标</w:t>
      </w:r>
    </w:p>
    <w:p w14:paraId="0AEE6E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2023年末，全县卫生和社会工作企业法人单位资产总计610.0万元，负债合计61.4万元。全年实现营业收入487.1万元。</w:t>
      </w:r>
    </w:p>
    <w:p w14:paraId="767374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全县卫生和社会工作行政事业及非企业法人单位年末资产57000.0万元，比2018年末增长57.0%。本年支出（费用）合计30000.0万元，比2018年增长12.4%。</w:t>
      </w:r>
    </w:p>
    <w:p w14:paraId="2E3722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6" w:firstLineChars="200"/>
        <w:jc w:val="both"/>
        <w:textAlignment w:val="auto"/>
        <w:outlineLvl w:val="1"/>
        <w:rPr>
          <w:rFonts w:hint="eastAsia" w:ascii="黑体" w:hAnsi="黑体" w:eastAsia="黑体" w:cs="黑体"/>
          <w:b w:val="0"/>
          <w:bCs w:val="0"/>
          <w:color w:val="000000" w:themeColor="text1"/>
          <w:spacing w:val="-6"/>
          <w:kern w:val="2"/>
          <w:sz w:val="32"/>
          <w:szCs w:val="32"/>
          <w:u w:val="none"/>
          <w:lang w:val="en-US" w:eastAsia="zh-CN" w:bidi="ar-SA"/>
          <w14:textFill>
            <w14:solidFill>
              <w14:schemeClr w14:val="tx1"/>
            </w14:solidFill>
          </w14:textFill>
        </w:rPr>
      </w:pPr>
      <w:r>
        <w:rPr>
          <w:rFonts w:hint="eastAsia" w:ascii="黑体" w:hAnsi="黑体" w:eastAsia="黑体" w:cs="黑体"/>
          <w:b w:val="0"/>
          <w:bCs w:val="0"/>
          <w:color w:val="000000" w:themeColor="text1"/>
          <w:spacing w:val="-6"/>
          <w:kern w:val="2"/>
          <w:sz w:val="32"/>
          <w:szCs w:val="32"/>
          <w:u w:val="none"/>
          <w:lang w:val="en-US" w:eastAsia="zh-CN" w:bidi="ar-SA"/>
          <w14:textFill>
            <w14:solidFill>
              <w14:schemeClr w14:val="tx1"/>
            </w14:solidFill>
          </w14:textFill>
        </w:rPr>
        <w:t>六、文化、体育和娱乐业</w:t>
      </w:r>
    </w:p>
    <w:p w14:paraId="6D8C8B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9" w:firstLineChars="200"/>
        <w:jc w:val="both"/>
        <w:textAlignment w:val="auto"/>
        <w:outlineLvl w:val="2"/>
        <w:rPr>
          <w:rFonts w:hint="eastAsia" w:ascii="楷体_GB2312" w:hAnsi="楷体_GB2312" w:eastAsia="楷体_GB2312" w:cs="楷体_GB2312"/>
          <w:b/>
          <w:bCs/>
          <w:color w:val="000000" w:themeColor="text1"/>
          <w:spacing w:val="-6"/>
          <w:kern w:val="2"/>
          <w:sz w:val="32"/>
          <w:szCs w:val="32"/>
          <w:u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pacing w:val="-6"/>
          <w:kern w:val="2"/>
          <w:sz w:val="32"/>
          <w:szCs w:val="32"/>
          <w:u w:val="none"/>
          <w:lang w:val="en-US" w:eastAsia="zh-CN" w:bidi="ar-SA"/>
          <w14:textFill>
            <w14:solidFill>
              <w14:schemeClr w14:val="tx1"/>
            </w14:solidFill>
          </w14:textFill>
        </w:rPr>
        <w:t>（一）法人单位数和从业人员</w:t>
      </w:r>
    </w:p>
    <w:p w14:paraId="1517CA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2023年末，全县共有文化、体育和娱乐业法人单位66个，从业人员419人。其中，企业法人单位62个，从业人员309人。</w:t>
      </w:r>
    </w:p>
    <w:p w14:paraId="1808DE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9" w:firstLineChars="200"/>
        <w:jc w:val="both"/>
        <w:textAlignment w:val="auto"/>
        <w:outlineLvl w:val="2"/>
        <w:rPr>
          <w:rFonts w:hint="eastAsia" w:ascii="楷体_GB2312" w:hAnsi="楷体_GB2312" w:eastAsia="楷体_GB2312" w:cs="楷体_GB2312"/>
          <w:b/>
          <w:bCs/>
          <w:color w:val="000000" w:themeColor="text1"/>
          <w:spacing w:val="-6"/>
          <w:kern w:val="2"/>
          <w:sz w:val="32"/>
          <w:szCs w:val="32"/>
          <w:u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pacing w:val="-6"/>
          <w:kern w:val="2"/>
          <w:sz w:val="32"/>
          <w:szCs w:val="32"/>
          <w:u w:val="none"/>
          <w:lang w:val="en-US" w:eastAsia="zh-CN" w:bidi="ar-SA"/>
          <w14:textFill>
            <w14:solidFill>
              <w14:schemeClr w14:val="tx1"/>
            </w14:solidFill>
          </w14:textFill>
        </w:rPr>
        <w:t>（二）主要经济指标</w:t>
      </w:r>
    </w:p>
    <w:p w14:paraId="57E31C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2023年末，全县文化、体育和娱乐业企业法人单位资产总计8591.0万元，负债合计2064.8万元。全年实现营业收入4467.1万元。</w:t>
      </w:r>
    </w:p>
    <w:p w14:paraId="0708A3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6" w:firstLineChars="200"/>
        <w:jc w:val="both"/>
        <w:textAlignment w:val="auto"/>
        <w:outlineLvl w:val="1"/>
        <w:rPr>
          <w:rFonts w:hint="eastAsia" w:ascii="黑体" w:hAnsi="黑体" w:eastAsia="黑体" w:cs="黑体"/>
          <w:b w:val="0"/>
          <w:bCs w:val="0"/>
          <w:color w:val="000000" w:themeColor="text1"/>
          <w:spacing w:val="-6"/>
          <w:kern w:val="2"/>
          <w:sz w:val="32"/>
          <w:szCs w:val="32"/>
          <w:u w:val="none"/>
          <w:lang w:val="en-US" w:eastAsia="zh-CN" w:bidi="ar-SA"/>
          <w14:textFill>
            <w14:solidFill>
              <w14:schemeClr w14:val="tx1"/>
            </w14:solidFill>
          </w14:textFill>
        </w:rPr>
      </w:pPr>
      <w:r>
        <w:rPr>
          <w:rFonts w:hint="eastAsia" w:ascii="黑体" w:hAnsi="黑体" w:eastAsia="黑体" w:cs="黑体"/>
          <w:b w:val="0"/>
          <w:bCs w:val="0"/>
          <w:color w:val="000000" w:themeColor="text1"/>
          <w:spacing w:val="-6"/>
          <w:kern w:val="2"/>
          <w:sz w:val="32"/>
          <w:szCs w:val="32"/>
          <w:u w:val="none"/>
          <w:lang w:val="en-US" w:eastAsia="zh-CN" w:bidi="ar-SA"/>
          <w14:textFill>
            <w14:solidFill>
              <w14:schemeClr w14:val="tx1"/>
            </w14:solidFill>
          </w14:textFill>
        </w:rPr>
        <w:t>七、公共管理、社会保障和社会组织</w:t>
      </w:r>
    </w:p>
    <w:p w14:paraId="662145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2023年末，全县共有公共管理、社会保障和社会组织法人单位469个，比2018年末下降9.5%；从业人员6511人，下降0.8%。行政事业及非企业法人单位本年支出（费用）合计213000.0万元，比2018年增长67.1%。</w:t>
      </w:r>
    </w:p>
    <w:p w14:paraId="6CEAEF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楷体" w:hAnsi="楷体" w:eastAsia="楷体" w:cs="楷体"/>
          <w:b w:val="0"/>
          <w:bCs/>
          <w:i w:val="0"/>
          <w:caps w:val="0"/>
          <w:color w:val="000000" w:themeColor="text1"/>
          <w:spacing w:val="0"/>
          <w:kern w:val="0"/>
          <w:sz w:val="28"/>
          <w:szCs w:val="28"/>
          <w:highlight w:val="none"/>
          <w:lang w:val="en-US" w:eastAsia="zh-CN" w:bidi="ar"/>
          <w14:textFill>
            <w14:solidFill>
              <w14:schemeClr w14:val="tx1"/>
            </w14:solidFill>
          </w14:textFill>
        </w:rPr>
      </w:pPr>
    </w:p>
    <w:p w14:paraId="00817E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楷体" w:hAnsi="楷体" w:eastAsia="楷体" w:cs="楷体"/>
          <w:i w:val="0"/>
          <w:caps w:val="0"/>
          <w:color w:val="000000" w:themeColor="text1"/>
          <w:spacing w:val="0"/>
          <w:sz w:val="28"/>
          <w:szCs w:val="28"/>
          <w:highlight w:val="none"/>
          <w14:textFill>
            <w14:solidFill>
              <w14:schemeClr w14:val="tx1"/>
            </w14:solidFill>
          </w14:textFill>
        </w:rPr>
      </w:pPr>
      <w:r>
        <w:rPr>
          <w:rFonts w:hint="eastAsia" w:ascii="楷体" w:hAnsi="楷体" w:eastAsia="楷体" w:cs="楷体"/>
          <w:b w:val="0"/>
          <w:bCs/>
          <w:i w:val="0"/>
          <w:caps w:val="0"/>
          <w:color w:val="000000" w:themeColor="text1"/>
          <w:spacing w:val="0"/>
          <w:kern w:val="0"/>
          <w:sz w:val="28"/>
          <w:szCs w:val="28"/>
          <w:highlight w:val="none"/>
          <w:lang w:val="en-US" w:eastAsia="zh-CN" w:bidi="ar"/>
          <w14:textFill>
            <w14:solidFill>
              <w14:schemeClr w14:val="tx1"/>
            </w14:solidFill>
          </w14:textFill>
        </w:rPr>
        <w:t>注释：</w:t>
      </w:r>
    </w:p>
    <w:p w14:paraId="736646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楷体" w:hAnsi="楷体" w:eastAsia="楷体" w:cs="楷体"/>
          <w:i w:val="0"/>
          <w:caps w:val="0"/>
          <w:color w:val="000000" w:themeColor="text1"/>
          <w:spacing w:val="0"/>
          <w:kern w:val="0"/>
          <w:sz w:val="28"/>
          <w:szCs w:val="28"/>
          <w:highlight w:val="none"/>
          <w:lang w:val="en-US" w:eastAsia="zh-CN" w:bidi="ar"/>
          <w14:textFill>
            <w14:solidFill>
              <w14:schemeClr w14:val="tx1"/>
            </w14:solidFill>
          </w14:textFill>
        </w:rPr>
      </w:pPr>
      <w:r>
        <w:rPr>
          <w:rFonts w:hint="eastAsia" w:ascii="楷体" w:hAnsi="楷体" w:eastAsia="楷体" w:cs="楷体"/>
          <w:i w:val="0"/>
          <w:caps w:val="0"/>
          <w:color w:val="000000" w:themeColor="text1"/>
          <w:spacing w:val="0"/>
          <w:kern w:val="0"/>
          <w:sz w:val="28"/>
          <w:szCs w:val="28"/>
          <w:highlight w:val="none"/>
          <w:lang w:val="en-US" w:eastAsia="zh-CN" w:bidi="ar"/>
          <w14:textFill>
            <w14:solidFill>
              <w14:schemeClr w14:val="tx1"/>
            </w14:solidFill>
          </w14:textFill>
        </w:rPr>
        <w:t>[1]本公报中的行政事业及非企业法人单位，不包括执行企业会计制度的事业法人单位、民办非企业法人单位和基金会，农民专业合作社，农村集体经济组织和除宗教活动场所以外的机构类型为其他组织机构的法人单位。</w:t>
      </w:r>
    </w:p>
    <w:p w14:paraId="485F06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firstLineChars="200"/>
        <w:jc w:val="both"/>
        <w:textAlignment w:val="auto"/>
        <w:rPr>
          <w:rFonts w:hint="eastAsia" w:ascii="楷体" w:hAnsi="楷体" w:eastAsia="楷体" w:cs="楷体"/>
          <w:i w:val="0"/>
          <w:caps w:val="0"/>
          <w:color w:val="000000" w:themeColor="text1"/>
          <w:spacing w:val="0"/>
          <w:kern w:val="0"/>
          <w:sz w:val="28"/>
          <w:szCs w:val="28"/>
          <w:highlight w:val="none"/>
          <w:lang w:val="en-US" w:eastAsia="zh-CN" w:bidi="ar"/>
          <w14:textFill>
            <w14:solidFill>
              <w14:schemeClr w14:val="tx1"/>
            </w14:solidFill>
          </w14:textFill>
        </w:rPr>
      </w:pPr>
      <w:r>
        <w:rPr>
          <w:rFonts w:hint="eastAsia" w:ascii="楷体" w:hAnsi="楷体" w:eastAsia="楷体" w:cs="楷体"/>
          <w:i w:val="0"/>
          <w:caps w:val="0"/>
          <w:color w:val="000000" w:themeColor="text1"/>
          <w:spacing w:val="0"/>
          <w:kern w:val="0"/>
          <w:sz w:val="28"/>
          <w:szCs w:val="28"/>
          <w:highlight w:val="none"/>
          <w:lang w:val="en-US" w:eastAsia="zh-CN" w:bidi="ar"/>
          <w14:textFill>
            <w14:solidFill>
              <w14:schemeClr w14:val="tx1"/>
            </w14:solidFill>
          </w14:textFill>
        </w:rPr>
        <w:t>[2]登记注册统计类别：根据国家统计局、国家市场监督管理总局《关于市场主体统计分类的划分规定》（国统字〔2023〕14号）确定，包括内资企业、港澳台投资企业和外商投资企业，以及农民专业合作社（联合社）等其他统计类别。全部数据均保留1位小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26C7E"/>
    <w:multiLevelType w:val="singleLevel"/>
    <w:tmpl w:val="18F26C7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86578"/>
    <w:rsid w:val="002F3FE8"/>
    <w:rsid w:val="005B3FA4"/>
    <w:rsid w:val="00945403"/>
    <w:rsid w:val="00965083"/>
    <w:rsid w:val="0136718A"/>
    <w:rsid w:val="016731DD"/>
    <w:rsid w:val="01F81447"/>
    <w:rsid w:val="02913BC4"/>
    <w:rsid w:val="035F5516"/>
    <w:rsid w:val="03843A88"/>
    <w:rsid w:val="03C97144"/>
    <w:rsid w:val="04CF69F1"/>
    <w:rsid w:val="04EE14A4"/>
    <w:rsid w:val="05C40203"/>
    <w:rsid w:val="06B60478"/>
    <w:rsid w:val="09023F99"/>
    <w:rsid w:val="09CD5E4C"/>
    <w:rsid w:val="0B0A682C"/>
    <w:rsid w:val="0BAB69EC"/>
    <w:rsid w:val="0E5466D2"/>
    <w:rsid w:val="0F626533"/>
    <w:rsid w:val="0FF41ADA"/>
    <w:rsid w:val="105E6369"/>
    <w:rsid w:val="107240A2"/>
    <w:rsid w:val="10DC6C37"/>
    <w:rsid w:val="10E904CB"/>
    <w:rsid w:val="10ED0527"/>
    <w:rsid w:val="11AA0494"/>
    <w:rsid w:val="1361042F"/>
    <w:rsid w:val="13656661"/>
    <w:rsid w:val="13952040"/>
    <w:rsid w:val="13B341E1"/>
    <w:rsid w:val="145E6879"/>
    <w:rsid w:val="15AE749F"/>
    <w:rsid w:val="15C10F04"/>
    <w:rsid w:val="16B75753"/>
    <w:rsid w:val="179172E1"/>
    <w:rsid w:val="189936EA"/>
    <w:rsid w:val="19100DAA"/>
    <w:rsid w:val="198D747A"/>
    <w:rsid w:val="19D368EA"/>
    <w:rsid w:val="1A3F729E"/>
    <w:rsid w:val="1BB229DE"/>
    <w:rsid w:val="1BC34886"/>
    <w:rsid w:val="1C7444C3"/>
    <w:rsid w:val="1D495F9C"/>
    <w:rsid w:val="1DDB5088"/>
    <w:rsid w:val="1E0C0259"/>
    <w:rsid w:val="1EEB6F36"/>
    <w:rsid w:val="20394FEA"/>
    <w:rsid w:val="213C7197"/>
    <w:rsid w:val="222667B4"/>
    <w:rsid w:val="22C86121"/>
    <w:rsid w:val="232C0937"/>
    <w:rsid w:val="23A423C5"/>
    <w:rsid w:val="240772AA"/>
    <w:rsid w:val="246F37D6"/>
    <w:rsid w:val="25CD79B1"/>
    <w:rsid w:val="273477E1"/>
    <w:rsid w:val="278C564A"/>
    <w:rsid w:val="27955C9B"/>
    <w:rsid w:val="28B356D4"/>
    <w:rsid w:val="28B50BD7"/>
    <w:rsid w:val="291E4B0C"/>
    <w:rsid w:val="29AE525D"/>
    <w:rsid w:val="2A105610"/>
    <w:rsid w:val="2A7A5040"/>
    <w:rsid w:val="2A8C4F5A"/>
    <w:rsid w:val="2AEE709A"/>
    <w:rsid w:val="2B172940"/>
    <w:rsid w:val="2B6371BC"/>
    <w:rsid w:val="2CF808D7"/>
    <w:rsid w:val="2D7A7BAB"/>
    <w:rsid w:val="2E4140F1"/>
    <w:rsid w:val="2E835E5F"/>
    <w:rsid w:val="2EAB63BD"/>
    <w:rsid w:val="2FB77156"/>
    <w:rsid w:val="303351E4"/>
    <w:rsid w:val="30773D10"/>
    <w:rsid w:val="31E41CE9"/>
    <w:rsid w:val="32063522"/>
    <w:rsid w:val="344811FB"/>
    <w:rsid w:val="35581F5E"/>
    <w:rsid w:val="359623CA"/>
    <w:rsid w:val="378F1849"/>
    <w:rsid w:val="37936D63"/>
    <w:rsid w:val="37EB63AE"/>
    <w:rsid w:val="384F02E3"/>
    <w:rsid w:val="3A453A27"/>
    <w:rsid w:val="3A6D1368"/>
    <w:rsid w:val="3A7F211D"/>
    <w:rsid w:val="3B0405E2"/>
    <w:rsid w:val="3BA313E5"/>
    <w:rsid w:val="3BBD5D18"/>
    <w:rsid w:val="3C242362"/>
    <w:rsid w:val="3C373143"/>
    <w:rsid w:val="3CAF6F0E"/>
    <w:rsid w:val="3CDD5C6A"/>
    <w:rsid w:val="3CF23B78"/>
    <w:rsid w:val="40163EB0"/>
    <w:rsid w:val="402A5051"/>
    <w:rsid w:val="40325326"/>
    <w:rsid w:val="42DC527F"/>
    <w:rsid w:val="433845CD"/>
    <w:rsid w:val="435C3C0F"/>
    <w:rsid w:val="44655746"/>
    <w:rsid w:val="452142CC"/>
    <w:rsid w:val="45F02255"/>
    <w:rsid w:val="467E5DB6"/>
    <w:rsid w:val="4727052F"/>
    <w:rsid w:val="48154BD2"/>
    <w:rsid w:val="489310B5"/>
    <w:rsid w:val="48C12AEC"/>
    <w:rsid w:val="4AEA0D8B"/>
    <w:rsid w:val="4BCD621C"/>
    <w:rsid w:val="4C1672E0"/>
    <w:rsid w:val="4C1A581F"/>
    <w:rsid w:val="4C293D83"/>
    <w:rsid w:val="4DE57C91"/>
    <w:rsid w:val="4E85035F"/>
    <w:rsid w:val="4F2A4BBE"/>
    <w:rsid w:val="4F7D7208"/>
    <w:rsid w:val="50090A37"/>
    <w:rsid w:val="50FF2FF1"/>
    <w:rsid w:val="5104626D"/>
    <w:rsid w:val="511F1327"/>
    <w:rsid w:val="51333614"/>
    <w:rsid w:val="51480E67"/>
    <w:rsid w:val="51EA2F07"/>
    <w:rsid w:val="524C2D4B"/>
    <w:rsid w:val="525E0E06"/>
    <w:rsid w:val="53237473"/>
    <w:rsid w:val="53E64FB3"/>
    <w:rsid w:val="53E775E0"/>
    <w:rsid w:val="55390D3D"/>
    <w:rsid w:val="570F0CE3"/>
    <w:rsid w:val="572C27C3"/>
    <w:rsid w:val="58111D81"/>
    <w:rsid w:val="582A1A5F"/>
    <w:rsid w:val="58DD6094"/>
    <w:rsid w:val="59466384"/>
    <w:rsid w:val="5CA6258E"/>
    <w:rsid w:val="5DAD1ABB"/>
    <w:rsid w:val="5E0A1E55"/>
    <w:rsid w:val="62A65A66"/>
    <w:rsid w:val="652B36EB"/>
    <w:rsid w:val="654253B4"/>
    <w:rsid w:val="65BA5C1E"/>
    <w:rsid w:val="65C0667E"/>
    <w:rsid w:val="65FF44E4"/>
    <w:rsid w:val="66BC5F1C"/>
    <w:rsid w:val="66FC0F03"/>
    <w:rsid w:val="67953680"/>
    <w:rsid w:val="6808450E"/>
    <w:rsid w:val="683347E8"/>
    <w:rsid w:val="693E4935"/>
    <w:rsid w:val="697F5FDF"/>
    <w:rsid w:val="6B1113B9"/>
    <w:rsid w:val="6B9414AB"/>
    <w:rsid w:val="6C884A87"/>
    <w:rsid w:val="6D1055FB"/>
    <w:rsid w:val="6DB6160C"/>
    <w:rsid w:val="6E3C4D68"/>
    <w:rsid w:val="6E681609"/>
    <w:rsid w:val="6EA81E99"/>
    <w:rsid w:val="6F9C3A2B"/>
    <w:rsid w:val="710E0644"/>
    <w:rsid w:val="71812947"/>
    <w:rsid w:val="745F20A1"/>
    <w:rsid w:val="748F004B"/>
    <w:rsid w:val="75CC2E8E"/>
    <w:rsid w:val="76B5414D"/>
    <w:rsid w:val="775533DD"/>
    <w:rsid w:val="782B4FB4"/>
    <w:rsid w:val="78F06A76"/>
    <w:rsid w:val="7A5B0CA2"/>
    <w:rsid w:val="7A9C2AC4"/>
    <w:rsid w:val="7B533262"/>
    <w:rsid w:val="7E7E1AD6"/>
    <w:rsid w:val="7F174C12"/>
    <w:rsid w:val="7F842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Body Text"/>
    <w:basedOn w:val="1"/>
    <w:next w:val="4"/>
    <w:qFormat/>
    <w:uiPriority w:val="0"/>
    <w:pPr>
      <w:spacing w:line="600" w:lineRule="exact"/>
    </w:pPr>
    <w:rPr>
      <w:rFonts w:ascii="仿宋_GB2312" w:eastAsia="仿宋_GB2312"/>
      <w:sz w:val="30"/>
    </w:rPr>
  </w:style>
  <w:style w:type="paragraph" w:styleId="4">
    <w:name w:val="Title"/>
    <w:basedOn w:val="1"/>
    <w:next w:val="1"/>
    <w:qFormat/>
    <w:uiPriority w:val="0"/>
    <w:pPr>
      <w:widowControl/>
      <w:ind w:firstLine="0" w:firstLineChars="0"/>
      <w:jc w:val="center"/>
    </w:pPr>
    <w:rPr>
      <w:rFonts w:eastAsia="方正小标宋简体"/>
      <w:b/>
      <w:bCs/>
      <w:sz w:val="40"/>
    </w:rPr>
  </w:style>
  <w:style w:type="paragraph" w:styleId="5">
    <w:name w:val="Body Text Indent"/>
    <w:basedOn w:val="1"/>
    <w:next w:val="1"/>
    <w:qFormat/>
    <w:uiPriority w:val="0"/>
    <w:pPr>
      <w:ind w:firstLine="425"/>
    </w:pPr>
    <w:rPr>
      <w:sz w:val="28"/>
    </w:rPr>
  </w:style>
  <w:style w:type="paragraph" w:styleId="6">
    <w:name w:val="footnote text"/>
    <w:basedOn w:val="1"/>
    <w:qFormat/>
    <w:uiPriority w:val="0"/>
    <w:pPr>
      <w:snapToGrid w:val="0"/>
      <w:jc w:val="left"/>
    </w:pPr>
    <w:rPr>
      <w:sz w:val="18"/>
    </w:rPr>
  </w:style>
  <w:style w:type="paragraph" w:styleId="7">
    <w:name w:val="Body Text First Indent"/>
    <w:basedOn w:val="3"/>
    <w:next w:val="8"/>
    <w:qFormat/>
    <w:uiPriority w:val="0"/>
    <w:pPr>
      <w:ind w:firstLine="420"/>
    </w:pPr>
    <w:rPr>
      <w:bCs/>
    </w:rPr>
  </w:style>
  <w:style w:type="paragraph" w:styleId="8">
    <w:name w:val="Body Text First Indent 2"/>
    <w:basedOn w:val="5"/>
    <w:next w:val="1"/>
    <w:qFormat/>
    <w:uiPriority w:val="0"/>
    <w:pPr>
      <w:ind w:firstLine="420" w:firstLineChars="200"/>
    </w:pPr>
    <w:rPr>
      <w:szCs w:val="22"/>
    </w:rPr>
  </w:style>
  <w:style w:type="character" w:styleId="11">
    <w:name w:val="footnote reference"/>
    <w:basedOn w:val="10"/>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1067</Words>
  <Characters>1308</Characters>
  <Lines>0</Lines>
  <Paragraphs>0</Paragraphs>
  <TotalTime>41</TotalTime>
  <ScaleCrop>false</ScaleCrop>
  <LinksUpToDate>false</LinksUpToDate>
  <CharactersWithSpaces>1323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2025-05-29T08:08:00Z</dcterms:created>
  <dc:creator>Administrator</dc:creator>
  <cp:lastModifiedBy>迪迦</cp:lastModifiedBy>
  <cp:lastPrinted>2025-06-04T02:45:00Z</cp:lastPrinted>
  <dcterms:modified xsi:type="dcterms:W3CDTF">2025-07-30T00:15:31Z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837B971C7FEB49B7B9894AC11A698049_13</vt:lpwstr>
  </property>
  <property fmtid="{D5CDD505-2E9C-101B-9397-08002B2CF9AE}" pid="4" name="KSOTemplateDocerSaveRecord">
    <vt:lpwstr>eyJoZGlkIjoiZDU3ZjU2NDE0ZWE0N2FhOWJhM2RmOTgwNjhkYjcxMzEiLCJ1c2VySWQiOiIyMDY1MTA5MTAifQ==</vt:lpwstr>
  </property>
</Properties>
</file>