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jc w:val="center"/>
        <w:rPr>
          <w:rFonts w:hint="eastAsia" w:ascii="方正小标宋_GBK" w:hAnsi="方正小标宋_GBK" w:eastAsia="方正小标宋_GBK" w:cs="方正小标宋_GBK"/>
          <w:b/>
          <w:color w:val="000000" w:themeColor="text1"/>
          <w:sz w:val="44"/>
          <w:szCs w:val="44"/>
        </w:rPr>
      </w:pPr>
      <w:bookmarkStart w:id="0" w:name="_GoBack"/>
      <w:r>
        <w:rPr>
          <w:rFonts w:hint="eastAsia" w:ascii="方正小标宋_GBK" w:hAnsi="方正小标宋_GBK" w:eastAsia="方正小标宋_GBK" w:cs="方正小标宋_GBK"/>
          <w:b/>
          <w:color w:val="000000" w:themeColor="text1"/>
          <w:sz w:val="44"/>
          <w:szCs w:val="44"/>
        </w:rPr>
        <w:t>20</w:t>
      </w:r>
      <w:r>
        <w:rPr>
          <w:rFonts w:hint="eastAsia" w:ascii="方正小标宋_GBK" w:hAnsi="方正小标宋_GBK" w:eastAsia="方正小标宋_GBK" w:cs="方正小标宋_GBK"/>
          <w:b/>
          <w:color w:val="000000" w:themeColor="text1"/>
          <w:sz w:val="44"/>
          <w:szCs w:val="44"/>
          <w:lang w:val="en-US" w:eastAsia="zh-CN"/>
        </w:rPr>
        <w:t>21</w:t>
      </w:r>
      <w:r>
        <w:rPr>
          <w:rFonts w:hint="eastAsia" w:ascii="方正小标宋_GBK" w:hAnsi="方正小标宋_GBK" w:eastAsia="方正小标宋_GBK" w:cs="方正小标宋_GBK"/>
          <w:b/>
          <w:color w:val="000000" w:themeColor="text1"/>
          <w:sz w:val="44"/>
          <w:szCs w:val="44"/>
        </w:rPr>
        <w:t>年中站区国民经济和社会发展</w:t>
      </w:r>
    </w:p>
    <w:p>
      <w:pPr>
        <w:pStyle w:val="6"/>
        <w:widowControl/>
        <w:jc w:val="center"/>
        <w:rPr>
          <w:rFonts w:hint="eastAsia" w:ascii="方正小标宋_GBK" w:hAnsi="方正小标宋_GBK" w:eastAsia="方正小标宋_GBK" w:cs="方正小标宋_GBK"/>
          <w:color w:val="000000" w:themeColor="text1"/>
          <w:sz w:val="44"/>
          <w:szCs w:val="44"/>
          <w:lang w:eastAsia="zh-CN"/>
        </w:rPr>
      </w:pPr>
      <w:r>
        <w:rPr>
          <w:rFonts w:hint="eastAsia" w:ascii="方正小标宋_GBK" w:hAnsi="方正小标宋_GBK" w:eastAsia="方正小标宋_GBK" w:cs="方正小标宋_GBK"/>
          <w:b/>
          <w:color w:val="000000" w:themeColor="text1"/>
          <w:sz w:val="44"/>
          <w:szCs w:val="44"/>
        </w:rPr>
        <w:t>统计公报</w:t>
      </w:r>
    </w:p>
    <w:bookmarkEnd w:id="0"/>
    <w:p>
      <w:pPr>
        <w:pStyle w:val="6"/>
        <w:widowControl/>
        <w:spacing w:line="480" w:lineRule="auto"/>
        <w:jc w:val="center"/>
        <w:rPr>
          <w:rFonts w:hint="eastAsia" w:ascii="楷体" w:hAnsi="楷体" w:eastAsia="楷体" w:cs="楷体"/>
          <w:color w:val="000000" w:themeColor="text1"/>
          <w:sz w:val="32"/>
          <w:szCs w:val="32"/>
        </w:rPr>
      </w:pPr>
      <w:r>
        <w:rPr>
          <w:rFonts w:hint="eastAsia" w:ascii="楷体" w:hAnsi="楷体" w:eastAsia="楷体" w:cs="楷体"/>
          <w:color w:val="000000" w:themeColor="text1"/>
          <w:sz w:val="32"/>
          <w:szCs w:val="32"/>
        </w:rPr>
        <w:t>中站区统计局</w:t>
      </w:r>
    </w:p>
    <w:p>
      <w:pPr>
        <w:pStyle w:val="6"/>
        <w:widowControl/>
        <w:spacing w:line="480" w:lineRule="auto"/>
        <w:jc w:val="center"/>
        <w:rPr>
          <w:rFonts w:ascii="楷体" w:hAnsi="楷体" w:eastAsia="楷体" w:cs="楷体"/>
          <w:sz w:val="32"/>
          <w:szCs w:val="32"/>
        </w:rPr>
      </w:pPr>
      <w:r>
        <w:rPr>
          <w:rFonts w:hint="eastAsia" w:ascii="楷体" w:hAnsi="楷体" w:eastAsia="楷体" w:cs="楷体"/>
          <w:color w:val="000000"/>
          <w:sz w:val="32"/>
          <w:szCs w:val="32"/>
        </w:rPr>
        <w:t>202</w:t>
      </w: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rPr>
        <w:t>年</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rPr>
        <w:t>月</w:t>
      </w:r>
      <w:r>
        <w:rPr>
          <w:rFonts w:hint="eastAsia" w:ascii="楷体" w:hAnsi="楷体" w:eastAsia="楷体" w:cs="楷体"/>
          <w:color w:val="000000"/>
          <w:sz w:val="32"/>
          <w:szCs w:val="32"/>
          <w:lang w:val="en-US" w:eastAsia="zh-CN"/>
        </w:rPr>
        <w:t>25</w:t>
      </w:r>
      <w:r>
        <w:rPr>
          <w:rFonts w:hint="eastAsia" w:ascii="楷体" w:hAnsi="楷体" w:eastAsia="楷体" w:cs="楷体"/>
          <w:color w:val="000000"/>
          <w:sz w:val="32"/>
          <w:szCs w:val="32"/>
        </w:rPr>
        <w:t>日</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eastAsia="仿宋"/>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一、综合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kern w:val="0"/>
          <w:sz w:val="32"/>
          <w:szCs w:val="32"/>
          <w:shd w:val="clear" w:color="auto" w:fill="FFFFFF"/>
        </w:rPr>
      </w:pPr>
      <w:r>
        <w:rPr>
          <w:rFonts w:hint="eastAsia" w:ascii="仿宋" w:hAnsi="仿宋" w:eastAsia="仿宋" w:cs="仿宋"/>
          <w:color w:val="000000" w:themeColor="text1"/>
          <w:sz w:val="32"/>
          <w:szCs w:val="32"/>
        </w:rPr>
        <w:t>初步核算，全年全区地区生产总值</w:t>
      </w:r>
      <w:r>
        <w:rPr>
          <w:rFonts w:hint="eastAsia" w:ascii="仿宋" w:hAnsi="仿宋" w:eastAsia="仿宋" w:cs="仿宋"/>
          <w:color w:val="000000" w:themeColor="text1"/>
          <w:sz w:val="32"/>
          <w:szCs w:val="32"/>
          <w:lang w:val="en-US" w:eastAsia="zh-CN"/>
        </w:rPr>
        <w:t>137.8</w:t>
      </w:r>
      <w:r>
        <w:rPr>
          <w:rFonts w:hint="eastAsia" w:ascii="仿宋" w:hAnsi="仿宋" w:eastAsia="仿宋" w:cs="仿宋"/>
          <w:color w:val="000000" w:themeColor="text1"/>
          <w:sz w:val="32"/>
          <w:szCs w:val="32"/>
        </w:rPr>
        <w:t>亿元，比上年增长</w:t>
      </w:r>
      <w:r>
        <w:rPr>
          <w:rFonts w:hint="eastAsia" w:ascii="仿宋" w:hAnsi="仿宋" w:eastAsia="仿宋" w:cs="仿宋"/>
          <w:color w:val="000000" w:themeColor="text1"/>
          <w:sz w:val="32"/>
          <w:szCs w:val="32"/>
          <w:lang w:val="en-US" w:eastAsia="zh-CN"/>
        </w:rPr>
        <w:t>5.4</w:t>
      </w:r>
      <w:r>
        <w:rPr>
          <w:rFonts w:hint="eastAsia" w:ascii="仿宋" w:hAnsi="仿宋" w:eastAsia="仿宋" w:cs="仿宋"/>
          <w:color w:val="000000" w:themeColor="text1"/>
          <w:sz w:val="32"/>
          <w:szCs w:val="32"/>
        </w:rPr>
        <w:t>%。其中：第一产业增加值</w:t>
      </w:r>
      <w:r>
        <w:rPr>
          <w:rFonts w:hint="eastAsia" w:ascii="仿宋" w:hAnsi="仿宋" w:eastAsia="仿宋" w:cs="仿宋"/>
          <w:color w:val="000000" w:themeColor="text1"/>
          <w:sz w:val="32"/>
          <w:szCs w:val="32"/>
          <w:lang w:val="en-US" w:eastAsia="zh-CN"/>
        </w:rPr>
        <w:t>0.6</w:t>
      </w:r>
      <w:r>
        <w:rPr>
          <w:rFonts w:hint="eastAsia" w:ascii="仿宋" w:hAnsi="仿宋" w:eastAsia="仿宋" w:cs="仿宋"/>
          <w:color w:val="000000" w:themeColor="text1"/>
          <w:sz w:val="32"/>
          <w:szCs w:val="32"/>
        </w:rPr>
        <w:t>亿元，增长</w:t>
      </w:r>
      <w:r>
        <w:rPr>
          <w:rFonts w:hint="eastAsia" w:ascii="仿宋" w:hAnsi="仿宋" w:eastAsia="仿宋" w:cs="仿宋"/>
          <w:color w:val="000000" w:themeColor="text1"/>
          <w:sz w:val="32"/>
          <w:szCs w:val="32"/>
          <w:lang w:val="en-US" w:eastAsia="zh-CN"/>
        </w:rPr>
        <w:t>3.0</w:t>
      </w:r>
      <w:r>
        <w:rPr>
          <w:rFonts w:hint="eastAsia" w:ascii="仿宋" w:hAnsi="仿宋" w:eastAsia="仿宋" w:cs="仿宋"/>
          <w:color w:val="000000" w:themeColor="text1"/>
          <w:sz w:val="32"/>
          <w:szCs w:val="32"/>
        </w:rPr>
        <w:t>%；第二产业</w:t>
      </w:r>
      <w:r>
        <w:rPr>
          <w:rFonts w:hint="eastAsia" w:ascii="仿宋_GB2312" w:hAnsi="宋体" w:eastAsia="仿宋_GB2312"/>
          <w:bCs/>
          <w:color w:val="000000" w:themeColor="text1"/>
          <w:kern w:val="0"/>
          <w:sz w:val="32"/>
          <w:szCs w:val="32"/>
          <w:shd w:val="clear" w:color="auto" w:fill="FFFFFF"/>
        </w:rPr>
        <w:t>增加值</w:t>
      </w:r>
      <w:r>
        <w:rPr>
          <w:rFonts w:hint="eastAsia" w:ascii="仿宋_GB2312" w:hAnsi="宋体" w:eastAsia="仿宋_GB2312"/>
          <w:bCs/>
          <w:color w:val="000000" w:themeColor="text1"/>
          <w:kern w:val="0"/>
          <w:sz w:val="32"/>
          <w:szCs w:val="32"/>
          <w:shd w:val="clear" w:color="auto" w:fill="FFFFFF"/>
          <w:lang w:val="en-US" w:eastAsia="zh-CN"/>
        </w:rPr>
        <w:t>102.2</w:t>
      </w:r>
      <w:r>
        <w:rPr>
          <w:rFonts w:hint="eastAsia" w:ascii="仿宋_GB2312" w:hAnsi="宋体" w:eastAsia="仿宋_GB2312"/>
          <w:bCs/>
          <w:color w:val="000000" w:themeColor="text1"/>
          <w:kern w:val="0"/>
          <w:sz w:val="32"/>
          <w:szCs w:val="32"/>
          <w:shd w:val="clear" w:color="auto" w:fill="FFFFFF"/>
        </w:rPr>
        <w:t>亿元，增长</w:t>
      </w:r>
      <w:r>
        <w:rPr>
          <w:rFonts w:hint="eastAsia" w:ascii="仿宋_GB2312" w:hAnsi="宋体" w:eastAsia="仿宋_GB2312"/>
          <w:bCs/>
          <w:color w:val="000000" w:themeColor="text1"/>
          <w:kern w:val="0"/>
          <w:sz w:val="32"/>
          <w:szCs w:val="32"/>
          <w:shd w:val="clear" w:color="auto" w:fill="FFFFFF"/>
          <w:lang w:val="en-US" w:eastAsia="zh-CN"/>
        </w:rPr>
        <w:t>5.2</w:t>
      </w:r>
      <w:r>
        <w:rPr>
          <w:rFonts w:hint="eastAsia" w:ascii="仿宋_GB2312" w:hAnsi="宋体" w:eastAsia="仿宋_GB2312"/>
          <w:bCs/>
          <w:color w:val="000000" w:themeColor="text1"/>
          <w:kern w:val="0"/>
          <w:sz w:val="32"/>
          <w:szCs w:val="32"/>
          <w:shd w:val="clear" w:color="auto" w:fill="FFFFFF"/>
        </w:rPr>
        <w:t>%；第三产业增加值</w:t>
      </w:r>
      <w:r>
        <w:rPr>
          <w:rFonts w:hint="eastAsia" w:ascii="仿宋_GB2312" w:hAnsi="宋体" w:eastAsia="仿宋_GB2312"/>
          <w:bCs/>
          <w:color w:val="000000" w:themeColor="text1"/>
          <w:kern w:val="0"/>
          <w:sz w:val="32"/>
          <w:szCs w:val="32"/>
          <w:shd w:val="clear" w:color="auto" w:fill="FFFFFF"/>
          <w:lang w:val="en-US" w:eastAsia="zh-CN"/>
        </w:rPr>
        <w:t>35.0</w:t>
      </w:r>
      <w:r>
        <w:rPr>
          <w:rFonts w:hint="eastAsia" w:ascii="仿宋_GB2312" w:hAnsi="宋体" w:eastAsia="仿宋_GB2312"/>
          <w:bCs/>
          <w:color w:val="000000" w:themeColor="text1"/>
          <w:kern w:val="0"/>
          <w:sz w:val="32"/>
          <w:szCs w:val="32"/>
          <w:shd w:val="clear" w:color="auto" w:fill="FFFFFF"/>
        </w:rPr>
        <w:t>亿元，增长</w:t>
      </w:r>
      <w:r>
        <w:rPr>
          <w:rFonts w:hint="eastAsia" w:ascii="仿宋_GB2312" w:hAnsi="宋体" w:eastAsia="仿宋_GB2312"/>
          <w:bCs/>
          <w:color w:val="000000" w:themeColor="text1"/>
          <w:kern w:val="0"/>
          <w:sz w:val="32"/>
          <w:szCs w:val="32"/>
          <w:shd w:val="clear" w:color="auto" w:fill="FFFFFF"/>
          <w:lang w:val="en-US" w:eastAsia="zh-CN"/>
        </w:rPr>
        <w:t>6.2</w:t>
      </w:r>
      <w:r>
        <w:rPr>
          <w:rFonts w:hint="eastAsia" w:ascii="仿宋_GB2312" w:hAnsi="宋体" w:eastAsia="仿宋_GB2312"/>
          <w:bCs/>
          <w:color w:val="000000" w:themeColor="text1"/>
          <w:kern w:val="0"/>
          <w:sz w:val="32"/>
          <w:szCs w:val="32"/>
          <w:shd w:val="clear" w:color="auto" w:fill="FFFFFF"/>
        </w:rPr>
        <w:t>%</w:t>
      </w:r>
      <w:r>
        <w:rPr>
          <w:rFonts w:hint="eastAsia" w:ascii="仿宋_GB2312" w:hAnsi="宋体" w:eastAsia="仿宋_GB2312"/>
          <w:bCs/>
          <w:color w:val="000000" w:themeColor="text1"/>
          <w:kern w:val="0"/>
          <w:sz w:val="32"/>
          <w:szCs w:val="32"/>
          <w:shd w:val="clear" w:color="auto" w:fill="FFFFFF"/>
          <w:lang w:eastAsia="zh-CN"/>
        </w:rPr>
        <w:t>。</w:t>
      </w:r>
      <w:r>
        <w:rPr>
          <w:rFonts w:hint="eastAsia" w:ascii="仿宋_GB2312" w:hAnsi="宋体" w:eastAsia="仿宋_GB2312"/>
          <w:bCs/>
          <w:color w:val="000000" w:themeColor="text1"/>
          <w:kern w:val="0"/>
          <w:sz w:val="32"/>
          <w:szCs w:val="32"/>
          <w:shd w:val="clear" w:color="auto" w:fill="FFFFFF"/>
        </w:rPr>
        <w:t>第一产业增加值占国内生产总值比重为</w:t>
      </w:r>
      <w:r>
        <w:rPr>
          <w:rFonts w:hint="eastAsia" w:ascii="仿宋_GB2312" w:hAnsi="宋体" w:eastAsia="仿宋_GB2312"/>
          <w:bCs/>
          <w:color w:val="000000" w:themeColor="text1"/>
          <w:kern w:val="0"/>
          <w:sz w:val="32"/>
          <w:szCs w:val="32"/>
          <w:shd w:val="clear" w:color="auto" w:fill="FFFFFF"/>
          <w:lang w:val="en-US" w:eastAsia="zh-CN"/>
        </w:rPr>
        <w:t>0.4</w:t>
      </w:r>
      <w:r>
        <w:rPr>
          <w:rFonts w:hint="default" w:ascii="仿宋_GB2312" w:hAnsi="宋体" w:eastAsia="仿宋_GB2312"/>
          <w:bCs/>
          <w:color w:val="000000" w:themeColor="text1"/>
          <w:kern w:val="0"/>
          <w:sz w:val="32"/>
          <w:szCs w:val="32"/>
          <w:shd w:val="clear" w:color="auto" w:fill="FFFFFF"/>
          <w:lang w:val="en-US"/>
        </w:rPr>
        <w:t>%</w:t>
      </w:r>
      <w:r>
        <w:rPr>
          <w:rFonts w:hint="eastAsia" w:ascii="仿宋_GB2312" w:hAnsi="宋体" w:eastAsia="仿宋_GB2312"/>
          <w:bCs/>
          <w:color w:val="000000" w:themeColor="text1"/>
          <w:kern w:val="0"/>
          <w:sz w:val="32"/>
          <w:szCs w:val="32"/>
          <w:shd w:val="clear" w:color="auto" w:fill="FFFFFF"/>
        </w:rPr>
        <w:t>，第二产业增加值比重为</w:t>
      </w:r>
      <w:r>
        <w:rPr>
          <w:rFonts w:hint="eastAsia" w:ascii="仿宋_GB2312" w:hAnsi="宋体" w:eastAsia="仿宋_GB2312"/>
          <w:bCs/>
          <w:color w:val="000000" w:themeColor="text1"/>
          <w:kern w:val="0"/>
          <w:sz w:val="32"/>
          <w:szCs w:val="32"/>
          <w:shd w:val="clear" w:color="auto" w:fill="FFFFFF"/>
          <w:lang w:val="en-US" w:eastAsia="zh-CN"/>
        </w:rPr>
        <w:t>74.2</w:t>
      </w:r>
      <w:r>
        <w:rPr>
          <w:rFonts w:hint="default" w:ascii="仿宋_GB2312" w:hAnsi="宋体" w:eastAsia="仿宋_GB2312"/>
          <w:bCs/>
          <w:color w:val="000000" w:themeColor="text1"/>
          <w:kern w:val="0"/>
          <w:sz w:val="32"/>
          <w:szCs w:val="32"/>
          <w:shd w:val="clear" w:color="auto" w:fill="FFFFFF"/>
          <w:lang w:val="en-US"/>
        </w:rPr>
        <w:t>%</w:t>
      </w:r>
      <w:r>
        <w:rPr>
          <w:rFonts w:hint="eastAsia" w:ascii="仿宋_GB2312" w:hAnsi="宋体" w:eastAsia="仿宋_GB2312"/>
          <w:bCs/>
          <w:color w:val="000000" w:themeColor="text1"/>
          <w:kern w:val="0"/>
          <w:sz w:val="32"/>
          <w:szCs w:val="32"/>
          <w:shd w:val="clear" w:color="auto" w:fill="FFFFFF"/>
        </w:rPr>
        <w:t>，第三产业增加值比重为</w:t>
      </w:r>
      <w:r>
        <w:rPr>
          <w:rFonts w:hint="eastAsia" w:ascii="仿宋_GB2312" w:hAnsi="宋体" w:eastAsia="仿宋_GB2312"/>
          <w:bCs/>
          <w:color w:val="000000" w:themeColor="text1"/>
          <w:kern w:val="0"/>
          <w:sz w:val="32"/>
          <w:szCs w:val="32"/>
          <w:shd w:val="clear" w:color="auto" w:fill="FFFFFF"/>
          <w:lang w:val="en-US" w:eastAsia="zh-CN"/>
        </w:rPr>
        <w:t>25.4</w:t>
      </w:r>
      <w:r>
        <w:rPr>
          <w:rFonts w:hint="default" w:ascii="仿宋_GB2312" w:hAnsi="宋体" w:eastAsia="仿宋_GB2312"/>
          <w:bCs/>
          <w:color w:val="000000" w:themeColor="text1"/>
          <w:kern w:val="0"/>
          <w:sz w:val="32"/>
          <w:szCs w:val="32"/>
          <w:shd w:val="clear" w:color="auto" w:fill="FFFFFF"/>
          <w:lang w:val="en-US"/>
        </w:rPr>
        <w:t>%</w:t>
      </w:r>
      <w:r>
        <w:rPr>
          <w:rFonts w:hint="eastAsia" w:ascii="仿宋_GB2312" w:hAnsi="宋体" w:eastAsia="仿宋_GB2312"/>
          <w:bCs/>
          <w:color w:val="000000" w:themeColor="text1"/>
          <w:kern w:val="0"/>
          <w:sz w:val="32"/>
          <w:szCs w:val="32"/>
          <w:shd w:val="clear" w:color="auto" w:fill="FFFFFF"/>
        </w:rPr>
        <w:t>。</w:t>
      </w:r>
      <w:r>
        <w:rPr>
          <w:rFonts w:hint="eastAsia" w:ascii="仿宋_GB2312" w:hAnsi="宋体" w:eastAsia="仿宋_GB2312"/>
          <w:bCs/>
          <w:color w:val="000000" w:themeColor="text1"/>
          <w:kern w:val="0"/>
          <w:sz w:val="32"/>
          <w:szCs w:val="32"/>
          <w:shd w:val="clear" w:color="auto" w:fill="FFFFFF"/>
          <w:lang w:eastAsia="zh-CN"/>
        </w:rPr>
        <w:t>按常住人口计算，全年</w:t>
      </w:r>
      <w:r>
        <w:rPr>
          <w:rFonts w:hint="eastAsia" w:ascii="仿宋" w:hAnsi="仿宋" w:eastAsia="仿宋" w:cs="仿宋"/>
          <w:color w:val="000000" w:themeColor="text1"/>
          <w:sz w:val="32"/>
          <w:szCs w:val="32"/>
        </w:rPr>
        <w:t>人均地区生产总值</w:t>
      </w:r>
      <w:r>
        <w:rPr>
          <w:rFonts w:hint="eastAsia" w:ascii="仿宋" w:hAnsi="仿宋" w:eastAsia="仿宋" w:cs="仿宋"/>
          <w:color w:val="000000" w:themeColor="text1"/>
          <w:sz w:val="32"/>
          <w:szCs w:val="32"/>
          <w:lang w:val="en-US" w:eastAsia="zh-CN"/>
        </w:rPr>
        <w:t>128326</w:t>
      </w:r>
      <w:r>
        <w:rPr>
          <w:rFonts w:hint="eastAsia" w:ascii="仿宋" w:hAnsi="仿宋" w:eastAsia="仿宋" w:cs="仿宋"/>
          <w:color w:val="000000" w:themeColor="text1"/>
          <w:sz w:val="32"/>
          <w:szCs w:val="32"/>
        </w:rPr>
        <w:t>元</w:t>
      </w:r>
      <w:r>
        <w:rPr>
          <w:rFonts w:hint="eastAsia" w:ascii="仿宋" w:hAnsi="仿宋" w:eastAsia="仿宋" w:cs="仿宋"/>
          <w:color w:val="000000" w:themeColor="text1"/>
          <w:sz w:val="32"/>
          <w:szCs w:val="32"/>
          <w:lang w:eastAsia="zh-CN"/>
        </w:rPr>
        <w:t>，比上年增长</w:t>
      </w:r>
      <w:r>
        <w:rPr>
          <w:rFonts w:hint="eastAsia" w:ascii="仿宋" w:hAnsi="仿宋" w:eastAsia="仿宋" w:cs="仿宋"/>
          <w:color w:val="000000" w:themeColor="text1"/>
          <w:sz w:val="32"/>
          <w:szCs w:val="32"/>
          <w:lang w:val="en-US" w:eastAsia="zh-CN"/>
        </w:rPr>
        <w:t>7.5%</w:t>
      </w:r>
      <w:r>
        <w:rPr>
          <w:rFonts w:hint="eastAsia" w:ascii="仿宋_GB2312" w:hAnsi="宋体" w:eastAsia="仿宋_GB2312"/>
          <w:bCs/>
          <w:color w:val="000000" w:themeColor="text1"/>
          <w:kern w:val="0"/>
          <w:sz w:val="32"/>
          <w:szCs w:val="32"/>
          <w:shd w:val="clear" w:color="auto" w:fill="FFFFFF"/>
        </w:rPr>
        <w:t>。</w:t>
      </w:r>
    </w:p>
    <w:p>
      <w:pPr>
        <w:pStyle w:val="2"/>
        <w:rPr>
          <w:rFonts w:hint="eastAsia" w:ascii="仿宋_GB2312" w:hAnsi="宋体" w:eastAsia="仿宋_GB2312"/>
          <w:bCs/>
          <w:color w:val="000000" w:themeColor="text1"/>
          <w:kern w:val="0"/>
          <w:sz w:val="32"/>
          <w:szCs w:val="32"/>
          <w:shd w:val="clear" w:color="auto" w:fill="FFFFFF"/>
        </w:rPr>
      </w:pPr>
    </w:p>
    <w:p>
      <w:pPr>
        <w:pStyle w:val="2"/>
        <w:rPr>
          <w:rFonts w:hint="eastAsia" w:ascii="仿宋_GB2312" w:hAnsi="宋体" w:eastAsia="仿宋_GB2312"/>
          <w:bCs/>
          <w:color w:val="000000" w:themeColor="text1"/>
          <w:kern w:val="0"/>
          <w:sz w:val="32"/>
          <w:szCs w:val="32"/>
          <w:shd w:val="clear" w:color="auto" w:fill="FFFFFF"/>
        </w:rPr>
      </w:pPr>
    </w:p>
    <w:p>
      <w:pPr>
        <w:pStyle w:val="2"/>
        <w:ind w:left="0" w:leftChars="0" w:firstLine="0" w:firstLineChars="0"/>
        <w:jc w:val="both"/>
      </w:pPr>
    </w:p>
    <w:p>
      <w:pPr>
        <w:pStyle w:val="2"/>
        <w:ind w:left="0" w:leftChars="0" w:firstLine="0" w:firstLineChars="0"/>
        <w:jc w:val="both"/>
      </w:pPr>
      <w:r>
        <w:drawing>
          <wp:inline distT="0" distB="0" distL="114300" distR="114300">
            <wp:extent cx="5269865" cy="2968625"/>
            <wp:effectExtent l="4445" t="4445" r="21590"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ind w:left="0" w:leftChars="0" w:firstLine="0" w:firstLineChars="0"/>
        <w:jc w:val="both"/>
        <w:rPr>
          <w:rFonts w:hint="eastAsia"/>
        </w:rPr>
      </w:pPr>
    </w:p>
    <w:p>
      <w:pPr>
        <w:pStyle w:val="2"/>
        <w:ind w:left="0" w:leftChars="0" w:firstLine="0" w:firstLineChars="0"/>
        <w:rPr>
          <w:rFonts w:hint="eastAsia" w:ascii="仿宋_GB2312" w:hAnsi="宋体" w:eastAsia="仿宋_GB2312"/>
          <w:bCs/>
          <w:color w:val="000000" w:themeColor="text1"/>
          <w:kern w:val="0"/>
          <w:sz w:val="32"/>
          <w:szCs w:val="32"/>
          <w:shd w:val="clear" w:color="auto" w:fill="FFFFFF"/>
        </w:rPr>
      </w:pPr>
      <w:r>
        <w:drawing>
          <wp:inline distT="0" distB="0" distL="114300" distR="114300">
            <wp:extent cx="5271770" cy="3093720"/>
            <wp:effectExtent l="4445" t="4445" r="19685" b="698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000000" w:themeColor="text1"/>
          <w:kern w:val="0"/>
          <w:sz w:val="32"/>
          <w:szCs w:val="32"/>
          <w:shd w:val="clear" w:color="auto" w:fill="FFFFFF"/>
          <w:lang w:val="en-US" w:eastAsia="zh-CN" w:bidi="ar-SA"/>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000000" w:themeColor="text1"/>
          <w:kern w:val="0"/>
          <w:sz w:val="32"/>
          <w:szCs w:val="32"/>
          <w:shd w:val="clear" w:color="auto" w:fill="FFFFFF"/>
          <w:lang w:val="en-US" w:eastAsia="zh-CN" w:bidi="ar-SA"/>
        </w:rPr>
      </w:pPr>
      <w:r>
        <w:rPr>
          <w:rFonts w:hint="eastAsia" w:ascii="仿宋_GB2312" w:hAnsi="宋体" w:eastAsia="仿宋_GB2312" w:cstheme="minorBidi"/>
          <w:bCs/>
          <w:color w:val="000000" w:themeColor="text1"/>
          <w:kern w:val="0"/>
          <w:sz w:val="32"/>
          <w:szCs w:val="32"/>
          <w:shd w:val="clear" w:color="auto" w:fill="FFFFFF"/>
          <w:lang w:val="en-US" w:eastAsia="zh-CN" w:bidi="ar-SA"/>
        </w:rPr>
        <w:t>年末全区常住人口107365人，其中城镇常住人口84528人，乡村常住人口22837人；常住人口城镇化率为78.73%。全年出生人口685人，人口出生率为6.39‰；死亡人口601人，人口死亡率为5.60‰；自然增长率为0.78‰。</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000000" w:themeColor="text1"/>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21" w:firstLineChars="150"/>
        <w:jc w:val="center"/>
        <w:rPr>
          <w:rFonts w:hint="default" w:ascii="仿宋" w:hAnsi="仿宋" w:eastAsia="仿宋" w:cs="仿宋"/>
          <w:b/>
          <w:bCs w:val="0"/>
          <w:color w:val="000000" w:themeColor="text1"/>
          <w:kern w:val="0"/>
          <w:sz w:val="28"/>
          <w:szCs w:val="28"/>
          <w:shd w:val="clear" w:color="auto" w:fill="FFFFFF"/>
          <w:lang w:val="en-US" w:eastAsia="zh-CN"/>
        </w:rPr>
      </w:pPr>
      <w:r>
        <w:rPr>
          <w:rFonts w:hint="eastAsia" w:ascii="仿宋" w:hAnsi="仿宋" w:eastAsia="仿宋" w:cs="仿宋"/>
          <w:b/>
          <w:bCs w:val="0"/>
          <w:color w:val="000000" w:themeColor="text1"/>
          <w:kern w:val="0"/>
          <w:sz w:val="28"/>
          <w:szCs w:val="28"/>
          <w:shd w:val="clear" w:color="auto" w:fill="FFFFFF"/>
          <w:lang w:val="en-US" w:eastAsia="zh-CN"/>
        </w:rPr>
        <w:t>表1  2021年年末中站区常住人口数及其构成</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指标</w:t>
            </w:r>
          </w:p>
        </w:tc>
        <w:tc>
          <w:tcPr>
            <w:tcW w:w="2841"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年末数（人）</w:t>
            </w:r>
          </w:p>
        </w:tc>
        <w:tc>
          <w:tcPr>
            <w:tcW w:w="2841" w:type="dxa"/>
            <w:tcBorders>
              <w:top w:val="single" w:color="auto" w:sz="4" w:space="0"/>
              <w:left w:val="single" w:color="auto" w:sz="4" w:space="0"/>
              <w:bottom w:val="single" w:color="auto" w:sz="4" w:space="0"/>
              <w:right w:val="nil"/>
            </w:tcBorders>
          </w:tcPr>
          <w:p>
            <w:pPr>
              <w:pStyle w:val="6"/>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全区常住人口</w:t>
            </w:r>
          </w:p>
        </w:tc>
        <w:tc>
          <w:tcPr>
            <w:tcW w:w="2841"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lang w:val="en-US" w:eastAsia="zh-CN" w:bidi="ar-SA"/>
              </w:rPr>
              <w:t>107365</w:t>
            </w:r>
          </w:p>
        </w:tc>
        <w:tc>
          <w:tcPr>
            <w:tcW w:w="2841" w:type="dxa"/>
            <w:tcBorders>
              <w:top w:val="single" w:color="auto" w:sz="4" w:space="0"/>
              <w:left w:val="single" w:color="auto" w:sz="4" w:space="0"/>
              <w:bottom w:val="single" w:color="auto" w:sz="4" w:space="0"/>
              <w:right w:val="nil"/>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其中：城镇</w:t>
            </w:r>
          </w:p>
        </w:tc>
        <w:tc>
          <w:tcPr>
            <w:tcW w:w="2841"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lang w:val="en-US" w:eastAsia="zh-CN" w:bidi="ar-SA"/>
              </w:rPr>
              <w:t>84528</w:t>
            </w:r>
          </w:p>
        </w:tc>
        <w:tc>
          <w:tcPr>
            <w:tcW w:w="2841" w:type="dxa"/>
            <w:tcBorders>
              <w:top w:val="single" w:color="auto" w:sz="4" w:space="0"/>
              <w:left w:val="single" w:color="auto" w:sz="4" w:space="0"/>
              <w:bottom w:val="single" w:color="auto" w:sz="4" w:space="0"/>
              <w:right w:val="nil"/>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nil"/>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lef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乡村</w:t>
            </w:r>
          </w:p>
        </w:tc>
        <w:tc>
          <w:tcPr>
            <w:tcW w:w="2841" w:type="dxa"/>
            <w:tcBorders>
              <w:top w:val="single" w:color="auto" w:sz="4" w:space="0"/>
              <w:left w:val="single" w:color="auto" w:sz="4" w:space="0"/>
              <w:bottom w:val="single" w:color="auto" w:sz="4" w:space="0"/>
              <w:right w:val="single" w:color="auto" w:sz="4" w:space="0"/>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lang w:val="en-US" w:eastAsia="zh-CN" w:bidi="ar-SA"/>
              </w:rPr>
              <w:t>22837</w:t>
            </w:r>
          </w:p>
        </w:tc>
        <w:tc>
          <w:tcPr>
            <w:tcW w:w="2841" w:type="dxa"/>
            <w:tcBorders>
              <w:top w:val="single" w:color="auto" w:sz="4" w:space="0"/>
              <w:left w:val="single" w:color="auto" w:sz="4" w:space="0"/>
              <w:bottom w:val="single" w:color="auto" w:sz="4" w:space="0"/>
              <w:right w:val="nil"/>
            </w:tcBorders>
          </w:tcPr>
          <w:p>
            <w:pPr>
              <w:pStyle w:val="6"/>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rPr>
              <w:t>21.3</w:t>
            </w:r>
          </w:p>
        </w:tc>
      </w:tr>
    </w:tbl>
    <w:p>
      <w:pPr>
        <w:pStyle w:val="6"/>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000000" w:themeColor="text1"/>
          <w:sz w:val="32"/>
          <w:szCs w:val="32"/>
        </w:rPr>
      </w:pPr>
      <w:r>
        <w:drawing>
          <wp:anchor distT="0" distB="0" distL="114300" distR="114300" simplePos="0" relativeHeight="251660288" behindDoc="0" locked="0" layoutInCell="1" allowOverlap="1">
            <wp:simplePos x="0" y="0"/>
            <wp:positionH relativeFrom="column">
              <wp:posOffset>26670</wp:posOffset>
            </wp:positionH>
            <wp:positionV relativeFrom="paragraph">
              <wp:posOffset>234950</wp:posOffset>
            </wp:positionV>
            <wp:extent cx="5271135" cy="2618740"/>
            <wp:effectExtent l="4445" t="4445" r="20320" b="571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000000" w:themeColor="text1"/>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全年</w:t>
      </w:r>
      <w:r>
        <w:rPr>
          <w:rFonts w:hint="eastAsia" w:ascii="仿宋" w:hAnsi="仿宋" w:eastAsia="仿宋" w:cs="仿宋"/>
          <w:color w:val="000000" w:themeColor="text1"/>
          <w:sz w:val="32"/>
          <w:szCs w:val="32"/>
          <w:lang w:eastAsia="zh-CN"/>
        </w:rPr>
        <w:t>全区</w:t>
      </w:r>
      <w:r>
        <w:rPr>
          <w:rFonts w:hint="eastAsia" w:ascii="仿宋" w:hAnsi="仿宋" w:eastAsia="仿宋" w:cs="仿宋"/>
          <w:color w:val="000000" w:themeColor="text1"/>
          <w:sz w:val="32"/>
          <w:szCs w:val="32"/>
        </w:rPr>
        <w:t>城镇新增就业人员</w:t>
      </w:r>
      <w:r>
        <w:rPr>
          <w:rFonts w:hint="eastAsia" w:ascii="仿宋" w:hAnsi="仿宋" w:eastAsia="仿宋" w:cs="仿宋"/>
          <w:color w:val="000000" w:themeColor="text1"/>
          <w:sz w:val="32"/>
          <w:szCs w:val="32"/>
          <w:lang w:val="en-US" w:eastAsia="zh-CN"/>
        </w:rPr>
        <w:t>3756</w:t>
      </w:r>
      <w:r>
        <w:rPr>
          <w:rFonts w:hint="eastAsia" w:ascii="仿宋" w:hAnsi="仿宋" w:eastAsia="仿宋" w:cs="仿宋"/>
          <w:color w:val="000000" w:themeColor="text1"/>
          <w:sz w:val="32"/>
          <w:szCs w:val="32"/>
        </w:rPr>
        <w:t>人，</w:t>
      </w:r>
      <w:r>
        <w:rPr>
          <w:rFonts w:hint="eastAsia" w:ascii="仿宋" w:hAnsi="仿宋" w:eastAsia="仿宋" w:cs="仿宋"/>
          <w:color w:val="000000" w:themeColor="text1"/>
          <w:sz w:val="32"/>
          <w:szCs w:val="32"/>
          <w:lang w:eastAsia="zh-CN"/>
        </w:rPr>
        <w:t>下岗</w:t>
      </w:r>
      <w:r>
        <w:rPr>
          <w:rFonts w:hint="eastAsia" w:ascii="仿宋" w:hAnsi="仿宋" w:eastAsia="仿宋" w:cs="仿宋"/>
          <w:color w:val="000000" w:themeColor="text1"/>
          <w:sz w:val="32"/>
          <w:szCs w:val="32"/>
        </w:rPr>
        <w:t>失业人员实现再就业1</w:t>
      </w:r>
      <w:r>
        <w:rPr>
          <w:rFonts w:hint="eastAsia" w:ascii="仿宋" w:hAnsi="仿宋" w:eastAsia="仿宋" w:cs="仿宋"/>
          <w:color w:val="000000" w:themeColor="text1"/>
          <w:sz w:val="32"/>
          <w:szCs w:val="32"/>
          <w:lang w:val="en-US" w:eastAsia="zh-CN"/>
        </w:rPr>
        <w:t>944</w:t>
      </w:r>
      <w:r>
        <w:rPr>
          <w:rFonts w:hint="eastAsia" w:ascii="仿宋" w:hAnsi="仿宋" w:eastAsia="仿宋" w:cs="仿宋"/>
          <w:color w:val="000000" w:themeColor="text1"/>
          <w:sz w:val="32"/>
          <w:szCs w:val="32"/>
        </w:rPr>
        <w:t>人，</w:t>
      </w:r>
      <w:r>
        <w:rPr>
          <w:rFonts w:hint="eastAsia" w:ascii="仿宋" w:hAnsi="仿宋" w:eastAsia="仿宋" w:cs="仿宋"/>
          <w:color w:val="000000" w:themeColor="text1"/>
          <w:sz w:val="32"/>
          <w:szCs w:val="32"/>
          <w:lang w:eastAsia="zh-CN"/>
        </w:rPr>
        <w:t>其中就业</w:t>
      </w:r>
      <w:r>
        <w:rPr>
          <w:rFonts w:hint="eastAsia" w:ascii="仿宋" w:hAnsi="仿宋" w:eastAsia="仿宋" w:cs="仿宋"/>
          <w:color w:val="000000" w:themeColor="text1"/>
          <w:sz w:val="32"/>
          <w:szCs w:val="32"/>
        </w:rPr>
        <w:t>困难</w:t>
      </w:r>
      <w:r>
        <w:rPr>
          <w:rFonts w:hint="eastAsia" w:ascii="仿宋" w:hAnsi="仿宋" w:eastAsia="仿宋" w:cs="仿宋"/>
          <w:color w:val="000000" w:themeColor="text1"/>
          <w:sz w:val="32"/>
          <w:szCs w:val="32"/>
          <w:lang w:eastAsia="zh-CN"/>
        </w:rPr>
        <w:t>对象</w:t>
      </w:r>
      <w:r>
        <w:rPr>
          <w:rFonts w:hint="eastAsia" w:ascii="仿宋" w:hAnsi="仿宋" w:eastAsia="仿宋" w:cs="仿宋"/>
          <w:color w:val="000000" w:themeColor="text1"/>
          <w:sz w:val="32"/>
          <w:szCs w:val="32"/>
        </w:rPr>
        <w:t>实现再就业30</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人，年末城镇登记失业率为3.2%</w:t>
      </w:r>
      <w:r>
        <w:rPr>
          <w:rFonts w:hint="eastAsia" w:ascii="仿宋" w:hAnsi="仿宋" w:eastAsia="仿宋" w:cs="仿宋"/>
          <w:color w:val="000000" w:themeColor="text1"/>
          <w:sz w:val="32"/>
          <w:szCs w:val="32"/>
          <w:lang w:eastAsia="zh-CN"/>
        </w:rPr>
        <w:t>，与上年持平</w:t>
      </w:r>
      <w:r>
        <w:rPr>
          <w:rFonts w:hint="eastAsia" w:ascii="仿宋" w:hAnsi="仿宋" w:eastAsia="仿宋" w:cs="仿宋"/>
          <w:color w:val="000000" w:themeColor="text1"/>
          <w:sz w:val="32"/>
          <w:szCs w:val="32"/>
        </w:rPr>
        <w:t>。新增农村劳动力转移就业</w:t>
      </w:r>
      <w:r>
        <w:rPr>
          <w:rFonts w:hint="eastAsia" w:ascii="仿宋" w:hAnsi="仿宋" w:eastAsia="仿宋" w:cs="仿宋"/>
          <w:color w:val="000000" w:themeColor="text1"/>
          <w:sz w:val="32"/>
          <w:szCs w:val="32"/>
          <w:lang w:val="en-US" w:eastAsia="zh-CN"/>
        </w:rPr>
        <w:t>55</w:t>
      </w:r>
      <w:r>
        <w:rPr>
          <w:rFonts w:hint="eastAsia" w:ascii="仿宋" w:hAnsi="仿宋" w:eastAsia="仿宋" w:cs="仿宋"/>
          <w:color w:val="000000" w:themeColor="text1"/>
          <w:sz w:val="32"/>
          <w:szCs w:val="32"/>
        </w:rPr>
        <w:t>人</w:t>
      </w:r>
      <w:r>
        <w:rPr>
          <w:rFonts w:hint="eastAsia" w:ascii="仿宋" w:hAnsi="仿宋" w:eastAsia="仿宋" w:cs="仿宋"/>
          <w:color w:val="000000" w:themeColor="text1"/>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32"/>
          <w:szCs w:val="32"/>
          <w:lang w:eastAsia="zh-CN"/>
        </w:rPr>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63500</wp:posOffset>
            </wp:positionV>
            <wp:extent cx="5273040" cy="2738120"/>
            <wp:effectExtent l="4445" t="4445" r="18415" b="1968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二、农业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全年</w:t>
      </w:r>
      <w:r>
        <w:rPr>
          <w:rFonts w:hint="eastAsia" w:ascii="仿宋" w:hAnsi="仿宋" w:eastAsia="仿宋" w:cs="仿宋"/>
          <w:sz w:val="32"/>
          <w:szCs w:val="32"/>
          <w:lang w:eastAsia="zh-CN"/>
        </w:rPr>
        <w:t>全区</w:t>
      </w:r>
      <w:r>
        <w:rPr>
          <w:rFonts w:hint="eastAsia" w:ascii="仿宋" w:hAnsi="仿宋" w:eastAsia="仿宋" w:cs="仿宋"/>
          <w:sz w:val="32"/>
          <w:szCs w:val="32"/>
        </w:rPr>
        <w:t>农作物总播种面积</w:t>
      </w:r>
      <w:r>
        <w:rPr>
          <w:rFonts w:hint="eastAsia" w:ascii="仿宋" w:hAnsi="仿宋" w:eastAsia="仿宋" w:cs="仿宋"/>
          <w:sz w:val="32"/>
          <w:szCs w:val="32"/>
          <w:lang w:val="en-US" w:eastAsia="zh-CN"/>
        </w:rPr>
        <w:t>1135.09</w:t>
      </w:r>
      <w:r>
        <w:rPr>
          <w:rFonts w:hint="eastAsia" w:ascii="仿宋" w:hAnsi="仿宋" w:eastAsia="仿宋" w:cs="仿宋"/>
          <w:sz w:val="32"/>
          <w:szCs w:val="32"/>
        </w:rPr>
        <w:t>公顷，比上年减少</w:t>
      </w:r>
      <w:r>
        <w:rPr>
          <w:rFonts w:hint="eastAsia" w:ascii="仿宋" w:hAnsi="仿宋" w:eastAsia="仿宋" w:cs="仿宋"/>
          <w:sz w:val="32"/>
          <w:szCs w:val="32"/>
          <w:lang w:val="en-US" w:eastAsia="zh-CN"/>
        </w:rPr>
        <w:t>24.6</w:t>
      </w:r>
      <w:r>
        <w:rPr>
          <w:rFonts w:hint="eastAsia" w:ascii="仿宋" w:hAnsi="仿宋" w:eastAsia="仿宋" w:cs="仿宋"/>
          <w:sz w:val="32"/>
          <w:szCs w:val="32"/>
        </w:rPr>
        <w:t>公顷,其中粮食播种面积</w:t>
      </w:r>
      <w:r>
        <w:rPr>
          <w:rFonts w:hint="eastAsia" w:ascii="仿宋" w:hAnsi="仿宋" w:eastAsia="仿宋" w:cs="仿宋"/>
          <w:sz w:val="32"/>
          <w:szCs w:val="32"/>
          <w:lang w:val="en-US" w:eastAsia="zh-CN"/>
        </w:rPr>
        <w:t>1066.66</w:t>
      </w:r>
      <w:r>
        <w:rPr>
          <w:rFonts w:hint="eastAsia" w:ascii="仿宋" w:hAnsi="仿宋" w:eastAsia="仿宋" w:cs="仿宋"/>
          <w:sz w:val="32"/>
          <w:szCs w:val="32"/>
        </w:rPr>
        <w:t>公顷,比上年减少</w:t>
      </w:r>
      <w:r>
        <w:rPr>
          <w:rFonts w:hint="eastAsia" w:ascii="仿宋" w:hAnsi="仿宋" w:eastAsia="仿宋" w:cs="仿宋"/>
          <w:sz w:val="32"/>
          <w:szCs w:val="32"/>
          <w:lang w:val="en-US" w:eastAsia="zh-CN"/>
        </w:rPr>
        <w:t>25.4</w:t>
      </w:r>
      <w:r>
        <w:rPr>
          <w:rFonts w:hint="eastAsia" w:ascii="仿宋" w:hAnsi="仿宋" w:eastAsia="仿宋" w:cs="仿宋"/>
          <w:sz w:val="32"/>
          <w:szCs w:val="32"/>
        </w:rPr>
        <w:t>公顷，小麦播种面积</w:t>
      </w:r>
      <w:r>
        <w:rPr>
          <w:rFonts w:hint="eastAsia" w:ascii="仿宋" w:hAnsi="仿宋" w:eastAsia="仿宋" w:cs="仿宋"/>
          <w:sz w:val="32"/>
          <w:szCs w:val="32"/>
          <w:lang w:val="en-US" w:eastAsia="zh-CN"/>
        </w:rPr>
        <w:t>540</w:t>
      </w:r>
      <w:r>
        <w:rPr>
          <w:rFonts w:hint="eastAsia" w:ascii="仿宋" w:hAnsi="仿宋" w:eastAsia="仿宋" w:cs="仿宋"/>
          <w:sz w:val="32"/>
          <w:szCs w:val="32"/>
        </w:rPr>
        <w:t>公顷，比上年</w:t>
      </w:r>
      <w:r>
        <w:rPr>
          <w:rFonts w:hint="eastAsia" w:ascii="仿宋" w:hAnsi="仿宋" w:eastAsia="仿宋" w:cs="仿宋"/>
          <w:sz w:val="32"/>
          <w:szCs w:val="32"/>
          <w:lang w:val="en-US" w:eastAsia="zh-CN"/>
        </w:rPr>
        <w:t>减少40.6</w:t>
      </w:r>
      <w:r>
        <w:rPr>
          <w:rFonts w:hint="eastAsia" w:ascii="仿宋" w:hAnsi="仿宋" w:eastAsia="仿宋" w:cs="仿宋"/>
          <w:sz w:val="32"/>
          <w:szCs w:val="32"/>
        </w:rPr>
        <w:t>公顷,玉米播种面积</w:t>
      </w:r>
      <w:r>
        <w:rPr>
          <w:rFonts w:hint="eastAsia" w:ascii="仿宋" w:hAnsi="仿宋" w:eastAsia="仿宋" w:cs="仿宋"/>
          <w:sz w:val="32"/>
          <w:szCs w:val="32"/>
          <w:lang w:val="en-US" w:eastAsia="zh-CN"/>
        </w:rPr>
        <w:t>526.66</w:t>
      </w:r>
      <w:r>
        <w:rPr>
          <w:rFonts w:hint="eastAsia" w:ascii="仿宋" w:hAnsi="仿宋" w:eastAsia="仿宋" w:cs="仿宋"/>
          <w:sz w:val="32"/>
          <w:szCs w:val="32"/>
        </w:rPr>
        <w:t>公顷，比上年</w:t>
      </w:r>
      <w:r>
        <w:rPr>
          <w:rFonts w:hint="eastAsia" w:ascii="仿宋" w:hAnsi="仿宋" w:eastAsia="仿宋" w:cs="仿宋"/>
          <w:sz w:val="32"/>
          <w:szCs w:val="32"/>
          <w:lang w:val="en-US" w:eastAsia="zh-CN"/>
        </w:rPr>
        <w:t>增加1.3</w:t>
      </w:r>
      <w:r>
        <w:rPr>
          <w:rFonts w:hint="eastAsia" w:ascii="仿宋" w:hAnsi="仿宋" w:eastAsia="仿宋" w:cs="仿宋"/>
          <w:sz w:val="32"/>
          <w:szCs w:val="32"/>
        </w:rPr>
        <w:t>公顷,蔬菜播种面积</w:t>
      </w:r>
      <w:r>
        <w:rPr>
          <w:rFonts w:hint="eastAsia" w:ascii="仿宋" w:hAnsi="仿宋" w:eastAsia="仿宋" w:cs="仿宋"/>
          <w:sz w:val="32"/>
          <w:szCs w:val="32"/>
          <w:lang w:val="en-US" w:eastAsia="zh-CN"/>
        </w:rPr>
        <w:t>68.43</w:t>
      </w:r>
      <w:r>
        <w:rPr>
          <w:rFonts w:hint="eastAsia" w:ascii="仿宋" w:hAnsi="仿宋" w:eastAsia="仿宋" w:cs="仿宋"/>
          <w:sz w:val="32"/>
          <w:szCs w:val="32"/>
        </w:rPr>
        <w:t>公顷，比上年</w:t>
      </w:r>
      <w:r>
        <w:rPr>
          <w:rFonts w:hint="eastAsia" w:ascii="仿宋" w:hAnsi="仿宋" w:eastAsia="仿宋" w:cs="仿宋"/>
          <w:sz w:val="32"/>
          <w:szCs w:val="32"/>
          <w:lang w:val="en-US" w:eastAsia="zh-CN"/>
        </w:rPr>
        <w:t>减少8.5</w:t>
      </w:r>
      <w:r>
        <w:rPr>
          <w:rFonts w:hint="eastAsia" w:ascii="仿宋" w:hAnsi="仿宋" w:eastAsia="仿宋" w:cs="仿宋"/>
          <w:sz w:val="32"/>
          <w:szCs w:val="32"/>
        </w:rPr>
        <w:t>公顷。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全年</w:t>
      </w:r>
      <w:r>
        <w:rPr>
          <w:rFonts w:hint="eastAsia" w:ascii="仿宋" w:hAnsi="仿宋" w:eastAsia="仿宋" w:cs="仿宋"/>
          <w:sz w:val="32"/>
          <w:szCs w:val="32"/>
          <w:lang w:eastAsia="zh-CN"/>
        </w:rPr>
        <w:t>全区</w:t>
      </w:r>
      <w:r>
        <w:rPr>
          <w:rFonts w:hint="eastAsia" w:ascii="仿宋" w:hAnsi="仿宋" w:eastAsia="仿宋" w:cs="仿宋"/>
          <w:sz w:val="32"/>
          <w:szCs w:val="32"/>
        </w:rPr>
        <w:t>粮食产量</w:t>
      </w:r>
      <w:r>
        <w:rPr>
          <w:rFonts w:hint="eastAsia" w:ascii="仿宋" w:hAnsi="仿宋" w:eastAsia="仿宋" w:cs="仿宋"/>
          <w:sz w:val="32"/>
          <w:szCs w:val="32"/>
          <w:lang w:val="en-US" w:eastAsia="zh-CN"/>
        </w:rPr>
        <w:t>4777</w:t>
      </w:r>
      <w:r>
        <w:rPr>
          <w:rFonts w:hint="eastAsia" w:ascii="仿宋" w:hAnsi="仿宋" w:eastAsia="仿宋" w:cs="仿宋"/>
          <w:sz w:val="32"/>
          <w:szCs w:val="32"/>
        </w:rPr>
        <w:t>吨，比上年</w:t>
      </w:r>
      <w:r>
        <w:rPr>
          <w:rFonts w:hint="eastAsia" w:ascii="仿宋" w:hAnsi="仿宋" w:eastAsia="仿宋" w:cs="仿宋"/>
          <w:sz w:val="32"/>
          <w:szCs w:val="32"/>
          <w:lang w:val="en-US" w:eastAsia="zh-CN"/>
        </w:rPr>
        <w:t>减少30.7</w:t>
      </w:r>
      <w:r>
        <w:rPr>
          <w:rFonts w:hint="eastAsia" w:ascii="仿宋" w:hAnsi="仿宋" w:eastAsia="仿宋" w:cs="仿宋"/>
          <w:sz w:val="32"/>
          <w:szCs w:val="32"/>
        </w:rPr>
        <w:t>%；蔬菜总产量</w:t>
      </w:r>
      <w:r>
        <w:rPr>
          <w:rFonts w:hint="eastAsia" w:ascii="仿宋" w:hAnsi="仿宋" w:eastAsia="仿宋" w:cs="仿宋"/>
          <w:sz w:val="32"/>
          <w:szCs w:val="32"/>
          <w:lang w:val="en-US" w:eastAsia="zh-CN"/>
        </w:rPr>
        <w:t>2426.35</w:t>
      </w:r>
      <w:r>
        <w:rPr>
          <w:rFonts w:hint="eastAsia" w:ascii="仿宋" w:hAnsi="仿宋" w:eastAsia="仿宋" w:cs="仿宋"/>
          <w:sz w:val="32"/>
          <w:szCs w:val="32"/>
        </w:rPr>
        <w:t>吨，比上年下降</w:t>
      </w:r>
      <w:r>
        <w:rPr>
          <w:rFonts w:hint="eastAsia" w:ascii="仿宋" w:hAnsi="仿宋" w:eastAsia="仿宋" w:cs="仿宋"/>
          <w:sz w:val="32"/>
          <w:szCs w:val="32"/>
          <w:lang w:val="en-US" w:eastAsia="zh-CN"/>
        </w:rPr>
        <w:t>24.3</w:t>
      </w:r>
      <w:r>
        <w:rPr>
          <w:rFonts w:hint="eastAsia" w:ascii="仿宋" w:hAnsi="仿宋" w:eastAsia="仿宋" w:cs="仿宋"/>
          <w:sz w:val="32"/>
          <w:szCs w:val="32"/>
        </w:rPr>
        <w:t>%；水果总产量</w:t>
      </w:r>
      <w:r>
        <w:rPr>
          <w:rFonts w:hint="eastAsia" w:ascii="仿宋" w:hAnsi="仿宋" w:eastAsia="仿宋" w:cs="仿宋"/>
          <w:sz w:val="32"/>
          <w:szCs w:val="32"/>
          <w:lang w:val="en-US" w:eastAsia="zh-CN"/>
        </w:rPr>
        <w:t>442</w:t>
      </w:r>
      <w:r>
        <w:rPr>
          <w:rFonts w:hint="eastAsia" w:ascii="仿宋" w:hAnsi="仿宋" w:eastAsia="仿宋" w:cs="仿宋"/>
          <w:sz w:val="32"/>
          <w:szCs w:val="32"/>
        </w:rPr>
        <w:t>吨，比上年</w:t>
      </w:r>
      <w:r>
        <w:rPr>
          <w:rFonts w:hint="eastAsia" w:ascii="仿宋" w:hAnsi="仿宋" w:eastAsia="仿宋" w:cs="仿宋"/>
          <w:sz w:val="32"/>
          <w:szCs w:val="32"/>
          <w:lang w:val="en-US" w:eastAsia="zh-CN"/>
        </w:rPr>
        <w:t>增加62.6</w:t>
      </w:r>
      <w:r>
        <w:rPr>
          <w:rFonts w:hint="eastAsia" w:ascii="仿宋" w:hAnsi="仿宋" w:eastAsia="仿宋" w:cs="仿宋"/>
          <w:sz w:val="32"/>
          <w:szCs w:val="32"/>
        </w:rPr>
        <w:t>%。</w:t>
      </w:r>
    </w:p>
    <w:p>
      <w:pPr>
        <w:pStyle w:val="2"/>
        <w:ind w:left="0" w:leftChars="0" w:firstLine="0" w:firstLineChars="0"/>
        <w:jc w:val="left"/>
        <w:rPr>
          <w:rFonts w:hint="eastAsia" w:ascii="仿宋" w:hAnsi="仿宋" w:eastAsia="仿宋" w:cs="仿宋"/>
          <w:sz w:val="32"/>
          <w:szCs w:val="32"/>
        </w:rPr>
      </w:pPr>
      <w:r>
        <w:drawing>
          <wp:inline distT="0" distB="0" distL="114300" distR="114300">
            <wp:extent cx="5272405" cy="2727960"/>
            <wp:effectExtent l="4445" t="4445" r="19050"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全年</w:t>
      </w:r>
      <w:r>
        <w:rPr>
          <w:rFonts w:hint="eastAsia" w:ascii="仿宋" w:hAnsi="仿宋" w:eastAsia="仿宋" w:cs="仿宋"/>
          <w:sz w:val="32"/>
          <w:szCs w:val="32"/>
          <w:lang w:eastAsia="zh-CN"/>
        </w:rPr>
        <w:t>全区</w:t>
      </w:r>
      <w:r>
        <w:rPr>
          <w:rFonts w:hint="eastAsia" w:ascii="仿宋" w:hAnsi="仿宋" w:eastAsia="仿宋" w:cs="仿宋"/>
          <w:sz w:val="32"/>
          <w:szCs w:val="32"/>
        </w:rPr>
        <w:t>生猪存栏</w:t>
      </w:r>
      <w:r>
        <w:rPr>
          <w:rFonts w:hint="eastAsia" w:ascii="仿宋" w:hAnsi="仿宋" w:eastAsia="仿宋" w:cs="仿宋"/>
          <w:sz w:val="32"/>
          <w:szCs w:val="32"/>
          <w:lang w:val="en-US" w:eastAsia="zh-CN"/>
        </w:rPr>
        <w:t>10537</w:t>
      </w:r>
      <w:r>
        <w:rPr>
          <w:rFonts w:hint="eastAsia" w:ascii="仿宋" w:hAnsi="仿宋" w:eastAsia="仿宋" w:cs="仿宋"/>
          <w:sz w:val="32"/>
          <w:szCs w:val="32"/>
        </w:rPr>
        <w:t>头，比上年</w:t>
      </w:r>
      <w:r>
        <w:rPr>
          <w:rFonts w:hint="eastAsia" w:ascii="仿宋" w:hAnsi="仿宋" w:eastAsia="仿宋" w:cs="仿宋"/>
          <w:sz w:val="32"/>
          <w:szCs w:val="32"/>
          <w:lang w:val="en-US" w:eastAsia="zh-CN"/>
        </w:rPr>
        <w:t>减少12.9</w:t>
      </w:r>
      <w:r>
        <w:rPr>
          <w:rFonts w:hint="eastAsia" w:ascii="仿宋" w:hAnsi="仿宋" w:eastAsia="仿宋" w:cs="仿宋"/>
          <w:sz w:val="32"/>
          <w:szCs w:val="32"/>
        </w:rPr>
        <w:t>%,牛存栏</w:t>
      </w:r>
      <w:r>
        <w:rPr>
          <w:rFonts w:hint="eastAsia" w:ascii="仿宋" w:hAnsi="仿宋" w:eastAsia="仿宋" w:cs="仿宋"/>
          <w:sz w:val="32"/>
          <w:szCs w:val="32"/>
          <w:lang w:val="en-US" w:eastAsia="zh-CN"/>
        </w:rPr>
        <w:t>432</w:t>
      </w:r>
      <w:r>
        <w:rPr>
          <w:rFonts w:hint="eastAsia" w:ascii="仿宋" w:hAnsi="仿宋" w:eastAsia="仿宋" w:cs="仿宋"/>
          <w:sz w:val="32"/>
          <w:szCs w:val="32"/>
        </w:rPr>
        <w:t>头，比上年增长</w:t>
      </w:r>
      <w:r>
        <w:rPr>
          <w:rFonts w:hint="eastAsia" w:ascii="仿宋" w:hAnsi="仿宋" w:eastAsia="仿宋" w:cs="仿宋"/>
          <w:sz w:val="32"/>
          <w:szCs w:val="32"/>
          <w:lang w:val="en-US" w:eastAsia="zh-CN"/>
        </w:rPr>
        <w:t>44</w:t>
      </w:r>
      <w:r>
        <w:rPr>
          <w:rFonts w:hint="eastAsia" w:ascii="仿宋" w:hAnsi="仿宋" w:eastAsia="仿宋" w:cs="仿宋"/>
          <w:sz w:val="32"/>
          <w:szCs w:val="32"/>
        </w:rPr>
        <w:t>%，羊存栏</w:t>
      </w:r>
      <w:r>
        <w:rPr>
          <w:rFonts w:hint="eastAsia" w:ascii="仿宋" w:hAnsi="仿宋" w:eastAsia="仿宋" w:cs="仿宋"/>
          <w:sz w:val="32"/>
          <w:szCs w:val="32"/>
          <w:lang w:val="en-US" w:eastAsia="zh-CN"/>
        </w:rPr>
        <w:t>25231</w:t>
      </w:r>
      <w:r>
        <w:rPr>
          <w:rFonts w:hint="eastAsia" w:ascii="仿宋" w:hAnsi="仿宋" w:eastAsia="仿宋" w:cs="仿宋"/>
          <w:sz w:val="32"/>
          <w:szCs w:val="32"/>
        </w:rPr>
        <w:t>只,比上年</w:t>
      </w:r>
      <w:r>
        <w:rPr>
          <w:rFonts w:hint="eastAsia" w:ascii="仿宋" w:hAnsi="仿宋" w:eastAsia="仿宋" w:cs="仿宋"/>
          <w:sz w:val="32"/>
          <w:szCs w:val="32"/>
          <w:lang w:val="en-US" w:eastAsia="zh-CN"/>
        </w:rPr>
        <w:t>减少7.6</w:t>
      </w:r>
      <w:r>
        <w:rPr>
          <w:rFonts w:hint="eastAsia" w:ascii="仿宋" w:hAnsi="仿宋" w:eastAsia="仿宋" w:cs="仿宋"/>
          <w:sz w:val="32"/>
          <w:szCs w:val="32"/>
        </w:rPr>
        <w:t>%,家禽存栏</w:t>
      </w:r>
      <w:r>
        <w:rPr>
          <w:rFonts w:hint="eastAsia" w:ascii="仿宋" w:hAnsi="仿宋" w:eastAsia="仿宋" w:cs="仿宋"/>
          <w:sz w:val="32"/>
          <w:szCs w:val="32"/>
          <w:lang w:val="en-US" w:eastAsia="zh-CN"/>
        </w:rPr>
        <w:t>82781</w:t>
      </w:r>
      <w:r>
        <w:rPr>
          <w:rFonts w:hint="eastAsia" w:ascii="仿宋" w:hAnsi="仿宋" w:eastAsia="仿宋" w:cs="仿宋"/>
          <w:sz w:val="32"/>
          <w:szCs w:val="32"/>
        </w:rPr>
        <w:t>只，比上年</w:t>
      </w:r>
      <w:r>
        <w:rPr>
          <w:rFonts w:hint="eastAsia" w:ascii="仿宋" w:hAnsi="仿宋" w:eastAsia="仿宋" w:cs="仿宋"/>
          <w:sz w:val="32"/>
          <w:szCs w:val="32"/>
          <w:lang w:val="en-US" w:eastAsia="zh-CN"/>
        </w:rPr>
        <w:t>增长112.3</w:t>
      </w:r>
      <w:r>
        <w:rPr>
          <w:rFonts w:hint="eastAsia" w:ascii="仿宋" w:hAnsi="仿宋" w:eastAsia="仿宋" w:cs="仿宋"/>
          <w:sz w:val="32"/>
          <w:szCs w:val="32"/>
        </w:rPr>
        <w:t>%。</w:t>
      </w:r>
    </w:p>
    <w:p>
      <w:pPr>
        <w:ind w:firstLine="640" w:firstLineChars="200"/>
        <w:rPr>
          <w:rFonts w:hint="eastAsia" w:ascii="仿宋_GB2312" w:hAnsi="宋体" w:eastAsia="仿宋_GB2312"/>
          <w:bCs/>
          <w:color w:val="C00000"/>
          <w:kern w:val="0"/>
          <w:sz w:val="32"/>
          <w:szCs w:val="32"/>
          <w:shd w:val="clear" w:color="auto" w:fill="FFFFFF"/>
        </w:rPr>
      </w:pPr>
      <w:r>
        <w:rPr>
          <w:rFonts w:hint="eastAsia" w:ascii="仿宋" w:hAnsi="仿宋" w:eastAsia="仿宋" w:cs="仿宋"/>
          <w:sz w:val="32"/>
          <w:szCs w:val="32"/>
          <w:lang w:eastAsia="zh-CN"/>
        </w:rPr>
        <w:t>全年全区</w:t>
      </w:r>
      <w:r>
        <w:rPr>
          <w:rFonts w:hint="eastAsia" w:ascii="仿宋" w:hAnsi="仿宋" w:eastAsia="仿宋" w:cs="仿宋"/>
          <w:sz w:val="32"/>
          <w:szCs w:val="32"/>
        </w:rPr>
        <w:t>肉类总产量</w:t>
      </w:r>
      <w:r>
        <w:rPr>
          <w:rFonts w:hint="eastAsia" w:ascii="仿宋" w:hAnsi="仿宋" w:eastAsia="仿宋" w:cs="仿宋"/>
          <w:sz w:val="32"/>
          <w:szCs w:val="32"/>
          <w:lang w:val="en-US" w:eastAsia="zh-CN"/>
        </w:rPr>
        <w:t>1157</w:t>
      </w:r>
      <w:r>
        <w:rPr>
          <w:rFonts w:hint="eastAsia" w:ascii="仿宋" w:hAnsi="仿宋" w:eastAsia="仿宋" w:cs="仿宋"/>
          <w:sz w:val="32"/>
          <w:szCs w:val="32"/>
        </w:rPr>
        <w:t>吨，比上年</w:t>
      </w:r>
      <w:r>
        <w:rPr>
          <w:rFonts w:hint="eastAsia" w:ascii="仿宋" w:hAnsi="仿宋" w:eastAsia="仿宋" w:cs="仿宋"/>
          <w:sz w:val="32"/>
          <w:szCs w:val="32"/>
          <w:lang w:val="en-US" w:eastAsia="zh-CN"/>
        </w:rPr>
        <w:t>增长5.2</w:t>
      </w:r>
      <w:r>
        <w:rPr>
          <w:rFonts w:hint="eastAsia" w:ascii="仿宋" w:hAnsi="仿宋" w:eastAsia="仿宋" w:cs="仿宋"/>
          <w:sz w:val="32"/>
          <w:szCs w:val="32"/>
        </w:rPr>
        <w:t>%；蛋类产量</w:t>
      </w:r>
      <w:r>
        <w:rPr>
          <w:rFonts w:hint="eastAsia" w:ascii="仿宋" w:hAnsi="仿宋" w:eastAsia="仿宋" w:cs="仿宋"/>
          <w:sz w:val="32"/>
          <w:szCs w:val="32"/>
          <w:lang w:val="en-US" w:eastAsia="zh-CN"/>
        </w:rPr>
        <w:t>925</w:t>
      </w:r>
      <w:r>
        <w:rPr>
          <w:rFonts w:hint="eastAsia" w:ascii="仿宋" w:hAnsi="仿宋" w:eastAsia="仿宋" w:cs="仿宋"/>
          <w:sz w:val="32"/>
          <w:szCs w:val="32"/>
        </w:rPr>
        <w:t>吨，比上年</w:t>
      </w:r>
      <w:r>
        <w:rPr>
          <w:rFonts w:hint="eastAsia" w:ascii="仿宋" w:hAnsi="仿宋" w:eastAsia="仿宋" w:cs="仿宋"/>
          <w:sz w:val="32"/>
          <w:szCs w:val="32"/>
          <w:lang w:val="en-US" w:eastAsia="zh-CN"/>
        </w:rPr>
        <w:t>增加15.6</w:t>
      </w:r>
      <w:r>
        <w:rPr>
          <w:rFonts w:hint="eastAsia" w:ascii="仿宋" w:hAnsi="仿宋" w:eastAsia="仿宋" w:cs="仿宋"/>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年末</w:t>
      </w:r>
      <w:r>
        <w:rPr>
          <w:rFonts w:hint="eastAsia" w:ascii="仿宋_GB2312" w:hAnsi="仿宋_GB2312" w:eastAsia="仿宋_GB2312" w:cs="仿宋_GB2312"/>
          <w:color w:val="000000" w:themeColor="text1"/>
          <w:kern w:val="0"/>
          <w:sz w:val="32"/>
          <w:szCs w:val="32"/>
          <w:lang w:eastAsia="zh-CN"/>
        </w:rPr>
        <w:t>全区</w:t>
      </w:r>
      <w:r>
        <w:rPr>
          <w:rFonts w:hint="eastAsia" w:ascii="仿宋_GB2312" w:hAnsi="仿宋_GB2312" w:eastAsia="仿宋_GB2312" w:cs="仿宋_GB2312"/>
          <w:color w:val="000000" w:themeColor="text1"/>
          <w:kern w:val="0"/>
          <w:sz w:val="32"/>
          <w:szCs w:val="32"/>
        </w:rPr>
        <w:t>农用拖拉机</w:t>
      </w:r>
      <w:r>
        <w:rPr>
          <w:rFonts w:hint="eastAsia" w:ascii="仿宋_GB2312" w:hAnsi="仿宋_GB2312" w:eastAsia="仿宋_GB2312" w:cs="仿宋_GB2312"/>
          <w:color w:val="000000" w:themeColor="text1"/>
          <w:kern w:val="0"/>
          <w:sz w:val="32"/>
          <w:szCs w:val="32"/>
          <w:lang w:val="en-US" w:eastAsia="zh-CN"/>
        </w:rPr>
        <w:t>23</w:t>
      </w:r>
      <w:r>
        <w:rPr>
          <w:rFonts w:hint="eastAsia" w:ascii="仿宋_GB2312" w:hAnsi="仿宋_GB2312" w:eastAsia="仿宋_GB2312" w:cs="仿宋_GB2312"/>
          <w:color w:val="000000" w:themeColor="text1"/>
          <w:kern w:val="0"/>
          <w:sz w:val="32"/>
          <w:szCs w:val="32"/>
        </w:rPr>
        <w:t>台,</w:t>
      </w:r>
      <w:r>
        <w:rPr>
          <w:rFonts w:hint="eastAsia" w:ascii="仿宋_GB2312" w:hAnsi="仿宋_GB2312" w:eastAsia="仿宋_GB2312" w:cs="仿宋_GB2312"/>
          <w:color w:val="000000" w:themeColor="text1"/>
          <w:kern w:val="0"/>
          <w:sz w:val="32"/>
          <w:szCs w:val="32"/>
          <w:lang w:eastAsia="zh-CN"/>
        </w:rPr>
        <w:t>与</w:t>
      </w:r>
      <w:r>
        <w:rPr>
          <w:rFonts w:hint="eastAsia" w:ascii="仿宋_GB2312" w:hAnsi="仿宋_GB2312" w:eastAsia="仿宋_GB2312" w:cs="仿宋_GB2312"/>
          <w:color w:val="000000" w:themeColor="text1"/>
          <w:kern w:val="0"/>
          <w:sz w:val="32"/>
          <w:szCs w:val="32"/>
        </w:rPr>
        <w:t>上年持平。</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三、工业和建筑业</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r>
        <w:rPr>
          <w:rFonts w:hint="eastAsia" w:ascii="仿宋_GB2312" w:hAnsi="宋体" w:eastAsia="仿宋_GB2312"/>
          <w:bCs/>
          <w:color w:val="000000" w:themeColor="text1"/>
          <w:sz w:val="32"/>
          <w:szCs w:val="32"/>
          <w:shd w:val="clear" w:color="auto" w:fill="FFFFFF"/>
          <w:lang w:eastAsia="zh-CN"/>
        </w:rPr>
        <w:t>全年全区</w:t>
      </w:r>
      <w:r>
        <w:rPr>
          <w:rFonts w:hint="eastAsia" w:ascii="仿宋_GB2312" w:hAnsi="宋体" w:eastAsia="仿宋_GB2312"/>
          <w:bCs/>
          <w:color w:val="000000" w:themeColor="text1"/>
          <w:sz w:val="32"/>
          <w:szCs w:val="32"/>
          <w:shd w:val="clear" w:color="auto" w:fill="FFFFFF"/>
        </w:rPr>
        <w:t>规模以上工业企业产值完成</w:t>
      </w:r>
      <w:r>
        <w:rPr>
          <w:rFonts w:hint="eastAsia" w:ascii="仿宋_GB2312" w:hAnsi="宋体" w:eastAsia="仿宋_GB2312"/>
          <w:bCs/>
          <w:color w:val="000000" w:themeColor="text1"/>
          <w:sz w:val="32"/>
          <w:szCs w:val="32"/>
          <w:shd w:val="clear" w:color="auto" w:fill="FFFFFF"/>
          <w:lang w:val="en-US" w:eastAsia="zh-CN"/>
        </w:rPr>
        <w:t>375.6</w:t>
      </w:r>
      <w:r>
        <w:rPr>
          <w:rFonts w:hint="eastAsia" w:ascii="仿宋_GB2312" w:hAnsi="宋体" w:eastAsia="仿宋_GB2312"/>
          <w:bCs/>
          <w:color w:val="000000" w:themeColor="text1"/>
          <w:sz w:val="32"/>
          <w:szCs w:val="32"/>
          <w:shd w:val="clear" w:color="auto" w:fill="FFFFFF"/>
        </w:rPr>
        <w:t>亿元，比上年增长</w:t>
      </w:r>
      <w:r>
        <w:rPr>
          <w:rFonts w:hint="eastAsia" w:ascii="仿宋_GB2312" w:hAnsi="宋体" w:eastAsia="仿宋_GB2312"/>
          <w:bCs/>
          <w:color w:val="000000" w:themeColor="text1"/>
          <w:sz w:val="32"/>
          <w:szCs w:val="32"/>
          <w:shd w:val="clear" w:color="auto" w:fill="FFFFFF"/>
          <w:lang w:val="en-US" w:eastAsia="zh-CN"/>
        </w:rPr>
        <w:t>28.5</w:t>
      </w:r>
      <w:r>
        <w:rPr>
          <w:rFonts w:hint="eastAsia" w:ascii="仿宋_GB2312" w:hAnsi="宋体" w:eastAsia="仿宋_GB2312"/>
          <w:bCs/>
          <w:color w:val="000000" w:themeColor="text1"/>
          <w:sz w:val="32"/>
          <w:szCs w:val="32"/>
          <w:shd w:val="clear" w:color="auto" w:fill="FFFFFF"/>
        </w:rPr>
        <w:t>%。</w:t>
      </w:r>
      <w:r>
        <w:rPr>
          <w:rFonts w:hint="eastAsia" w:ascii="仿宋" w:hAnsi="仿宋" w:eastAsia="仿宋" w:cs="仿宋"/>
          <w:color w:val="000000" w:themeColor="text1"/>
          <w:sz w:val="32"/>
          <w:szCs w:val="32"/>
        </w:rPr>
        <w:t>规模以上工业增加值比上年增长</w:t>
      </w:r>
      <w:r>
        <w:rPr>
          <w:rFonts w:hint="eastAsia" w:ascii="仿宋" w:hAnsi="仿宋" w:eastAsia="仿宋" w:cs="仿宋"/>
          <w:color w:val="000000" w:themeColor="text1"/>
          <w:sz w:val="32"/>
          <w:szCs w:val="32"/>
          <w:lang w:val="en-US" w:eastAsia="zh-CN"/>
        </w:rPr>
        <w:t>8.5</w:t>
      </w:r>
      <w:r>
        <w:rPr>
          <w:rFonts w:hint="eastAsia" w:ascii="仿宋" w:hAnsi="仿宋" w:eastAsia="仿宋" w:cs="仿宋"/>
          <w:color w:val="000000" w:themeColor="text1"/>
          <w:sz w:val="32"/>
          <w:szCs w:val="32"/>
        </w:rPr>
        <w:t>%；产品销售率</w:t>
      </w:r>
      <w:r>
        <w:rPr>
          <w:rFonts w:hint="eastAsia" w:ascii="仿宋" w:hAnsi="仿宋" w:eastAsia="仿宋" w:cs="仿宋"/>
          <w:color w:val="000000" w:themeColor="text1"/>
          <w:sz w:val="32"/>
          <w:szCs w:val="32"/>
          <w:lang w:val="en-US" w:eastAsia="zh-CN"/>
        </w:rPr>
        <w:t>99.7</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r>
        <w:rPr>
          <w:rFonts w:hint="eastAsia" w:ascii="仿宋_GB2312" w:hAnsi="宋体" w:eastAsia="仿宋_GB2312"/>
          <w:bCs/>
          <w:color w:val="000000" w:themeColor="text1"/>
          <w:sz w:val="32"/>
          <w:szCs w:val="32"/>
          <w:shd w:val="clear" w:color="auto" w:fill="FFFFFF"/>
        </w:rPr>
        <w:t>营业务收入比上年增长</w:t>
      </w:r>
      <w:r>
        <w:rPr>
          <w:rFonts w:hint="eastAsia" w:ascii="仿宋_GB2312" w:hAnsi="宋体" w:eastAsia="仿宋_GB2312"/>
          <w:bCs/>
          <w:color w:val="000000" w:themeColor="text1"/>
          <w:sz w:val="32"/>
          <w:szCs w:val="32"/>
          <w:shd w:val="clear" w:color="auto" w:fill="FFFFFF"/>
          <w:lang w:val="en-US" w:eastAsia="zh-CN"/>
        </w:rPr>
        <w:t>50.2</w:t>
      </w:r>
      <w:r>
        <w:rPr>
          <w:rFonts w:hint="eastAsia" w:ascii="仿宋_GB2312" w:hAnsi="宋体" w:eastAsia="仿宋_GB2312"/>
          <w:bCs/>
          <w:color w:val="000000" w:themeColor="text1"/>
          <w:sz w:val="32"/>
          <w:szCs w:val="32"/>
          <w:shd w:val="clear" w:color="auto" w:fill="FFFFFF"/>
        </w:rPr>
        <w:t>%；利润总额比上年增长</w:t>
      </w:r>
      <w:r>
        <w:rPr>
          <w:rFonts w:hint="eastAsia" w:ascii="仿宋_GB2312" w:hAnsi="宋体" w:eastAsia="仿宋_GB2312"/>
          <w:bCs/>
          <w:color w:val="000000" w:themeColor="text1"/>
          <w:sz w:val="32"/>
          <w:szCs w:val="32"/>
          <w:shd w:val="clear" w:color="auto" w:fill="FFFFFF"/>
          <w:lang w:val="en-US" w:eastAsia="zh-CN"/>
        </w:rPr>
        <w:t>123.9</w:t>
      </w:r>
      <w:r>
        <w:rPr>
          <w:rFonts w:hint="eastAsia" w:ascii="仿宋_GB2312" w:hAnsi="宋体" w:eastAsia="仿宋_GB2312"/>
          <w:bCs/>
          <w:color w:val="000000" w:themeColor="text1"/>
          <w:sz w:val="32"/>
          <w:szCs w:val="32"/>
          <w:shd w:val="clear" w:color="auto" w:fill="FFFFFF"/>
        </w:rPr>
        <w:t>%</w:t>
      </w:r>
      <w:r>
        <w:rPr>
          <w:rFonts w:hint="eastAsia" w:ascii="仿宋_GB2312" w:hAnsi="宋体" w:eastAsia="仿宋_GB2312"/>
          <w:bCs/>
          <w:color w:val="000000" w:themeColor="text1"/>
          <w:sz w:val="32"/>
          <w:szCs w:val="32"/>
          <w:shd w:val="clear" w:color="auto" w:fill="FFFFFF"/>
          <w:lang w:eastAsia="zh-CN"/>
        </w:rPr>
        <w:t>。</w:t>
      </w:r>
      <w:r>
        <w:rPr>
          <w:rFonts w:hint="eastAsia" w:ascii="仿宋_GB2312" w:hAnsi="宋体" w:eastAsia="仿宋_GB2312"/>
          <w:bCs/>
          <w:color w:val="000000" w:themeColor="text1"/>
          <w:sz w:val="32"/>
          <w:szCs w:val="32"/>
          <w:shd w:val="clear" w:color="auto" w:fill="FFFFFF"/>
        </w:rPr>
        <w:t>高新技术产业增加值占规模以上工业增加值</w:t>
      </w:r>
      <w:r>
        <w:rPr>
          <w:rFonts w:hint="eastAsia" w:ascii="仿宋_GB2312" w:hAnsi="宋体" w:eastAsia="仿宋_GB2312"/>
          <w:bCs/>
          <w:color w:val="000000" w:themeColor="text1"/>
          <w:sz w:val="32"/>
          <w:szCs w:val="32"/>
          <w:shd w:val="clear" w:color="auto" w:fill="FFFFFF"/>
          <w:lang w:val="en-US" w:eastAsia="zh-CN"/>
        </w:rPr>
        <w:t>88</w:t>
      </w:r>
      <w:r>
        <w:rPr>
          <w:rFonts w:hint="eastAsia" w:ascii="仿宋_GB2312" w:hAnsi="宋体" w:eastAsia="仿宋_GB2312"/>
          <w:bCs/>
          <w:color w:val="000000" w:themeColor="text1"/>
          <w:sz w:val="32"/>
          <w:szCs w:val="32"/>
          <w:shd w:val="clear" w:color="auto" w:fill="FFFFFF"/>
        </w:rPr>
        <w:t>%；高技术产业增加值占规模以上工业增加值的</w:t>
      </w:r>
      <w:r>
        <w:rPr>
          <w:rFonts w:hint="eastAsia" w:ascii="仿宋_GB2312" w:hAnsi="宋体" w:eastAsia="仿宋_GB2312"/>
          <w:bCs/>
          <w:color w:val="000000" w:themeColor="text1"/>
          <w:sz w:val="32"/>
          <w:szCs w:val="32"/>
          <w:shd w:val="clear" w:color="auto" w:fill="FFFFFF"/>
          <w:lang w:val="en-US" w:eastAsia="zh-CN"/>
        </w:rPr>
        <w:t>2.8</w:t>
      </w:r>
      <w:r>
        <w:rPr>
          <w:rFonts w:hint="eastAsia" w:ascii="仿宋_GB2312" w:hAnsi="宋体" w:eastAsia="仿宋_GB2312"/>
          <w:bCs/>
          <w:color w:val="000000" w:themeColor="text1"/>
          <w:sz w:val="32"/>
          <w:szCs w:val="32"/>
          <w:shd w:val="clear" w:color="auto" w:fill="FFFFFF"/>
        </w:rPr>
        <w:t>%；战略性新兴产业增加值</w:t>
      </w:r>
      <w:r>
        <w:rPr>
          <w:rFonts w:hint="eastAsia" w:ascii="仿宋" w:hAnsi="仿宋" w:eastAsia="仿宋" w:cs="仿宋"/>
          <w:color w:val="000000" w:themeColor="text1"/>
          <w:sz w:val="32"/>
          <w:szCs w:val="32"/>
        </w:rPr>
        <w:t>比上年</w:t>
      </w:r>
      <w:r>
        <w:rPr>
          <w:rFonts w:hint="eastAsia" w:ascii="仿宋_GB2312" w:hAnsi="宋体" w:eastAsia="仿宋_GB2312"/>
          <w:bCs/>
          <w:color w:val="000000" w:themeColor="text1"/>
          <w:sz w:val="32"/>
          <w:szCs w:val="32"/>
          <w:shd w:val="clear" w:color="auto" w:fill="FFFFFF"/>
          <w:lang w:eastAsia="zh-CN"/>
        </w:rPr>
        <w:t>增长</w:t>
      </w:r>
      <w:r>
        <w:rPr>
          <w:rFonts w:hint="eastAsia" w:ascii="仿宋_GB2312" w:hAnsi="宋体" w:eastAsia="仿宋_GB2312"/>
          <w:bCs/>
          <w:color w:val="000000" w:themeColor="text1"/>
          <w:sz w:val="32"/>
          <w:szCs w:val="32"/>
          <w:shd w:val="clear" w:color="auto" w:fill="FFFFFF"/>
          <w:lang w:val="en-US" w:eastAsia="zh-CN"/>
        </w:rPr>
        <w:t>8.8%</w:t>
      </w:r>
      <w:r>
        <w:rPr>
          <w:rFonts w:hint="eastAsia" w:ascii="仿宋_GB2312" w:hAnsi="宋体" w:eastAsia="仿宋_GB2312"/>
          <w:bCs/>
          <w:color w:val="000000" w:themeColor="text1"/>
          <w:sz w:val="32"/>
          <w:szCs w:val="32"/>
          <w:shd w:val="clear" w:color="auto" w:fill="FFFFFF"/>
        </w:rPr>
        <w:t>，占规模以上工业增加值的</w:t>
      </w:r>
      <w:r>
        <w:rPr>
          <w:rFonts w:hint="eastAsia" w:ascii="仿宋_GB2312" w:hAnsi="宋体" w:eastAsia="仿宋_GB2312"/>
          <w:bCs/>
          <w:color w:val="000000" w:themeColor="text1"/>
          <w:sz w:val="32"/>
          <w:szCs w:val="32"/>
          <w:shd w:val="clear" w:color="auto" w:fill="FFFFFF"/>
          <w:lang w:val="en-US" w:eastAsia="zh-CN"/>
        </w:rPr>
        <w:t>59.4</w:t>
      </w:r>
      <w:r>
        <w:rPr>
          <w:rFonts w:hint="eastAsia" w:ascii="仿宋_GB2312" w:hAnsi="宋体" w:eastAsia="仿宋_GB2312"/>
          <w:bCs/>
          <w:color w:val="000000" w:themeColor="text1"/>
          <w:sz w:val="32"/>
          <w:szCs w:val="32"/>
          <w:shd w:val="clear" w:color="auto" w:fill="FFFFFF"/>
        </w:rPr>
        <w:t>%</w:t>
      </w:r>
      <w:r>
        <w:rPr>
          <w:rFonts w:hint="eastAsia" w:ascii="仿宋_GB2312" w:hAnsi="宋体" w:eastAsia="仿宋_GB2312"/>
          <w:bCs/>
          <w:color w:val="000000" w:themeColor="text1"/>
          <w:sz w:val="32"/>
          <w:szCs w:val="32"/>
          <w:shd w:val="clear" w:color="auto" w:fill="FFFFFF"/>
          <w:lang w:eastAsia="zh-CN"/>
        </w:rPr>
        <w:t>；主导产业增加值比上年增长</w:t>
      </w:r>
      <w:r>
        <w:rPr>
          <w:rFonts w:hint="eastAsia" w:ascii="仿宋_GB2312" w:hAnsi="宋体" w:eastAsia="仿宋_GB2312"/>
          <w:bCs/>
          <w:color w:val="000000" w:themeColor="text1"/>
          <w:sz w:val="32"/>
          <w:szCs w:val="32"/>
          <w:shd w:val="clear" w:color="auto" w:fill="FFFFFF"/>
          <w:lang w:val="en-US" w:eastAsia="zh-CN"/>
        </w:rPr>
        <w:t>29.5%，占</w:t>
      </w:r>
      <w:r>
        <w:rPr>
          <w:rFonts w:hint="eastAsia" w:ascii="仿宋_GB2312" w:hAnsi="宋体" w:eastAsia="仿宋_GB2312"/>
          <w:bCs/>
          <w:color w:val="000000" w:themeColor="text1"/>
          <w:sz w:val="32"/>
          <w:szCs w:val="32"/>
          <w:shd w:val="clear" w:color="auto" w:fill="FFFFFF"/>
        </w:rPr>
        <w:t>规模以上工业增加值的</w:t>
      </w:r>
      <w:r>
        <w:rPr>
          <w:rFonts w:hint="eastAsia" w:ascii="仿宋_GB2312" w:hAnsi="宋体" w:eastAsia="仿宋_GB2312"/>
          <w:bCs/>
          <w:color w:val="000000" w:themeColor="text1"/>
          <w:sz w:val="32"/>
          <w:szCs w:val="32"/>
          <w:shd w:val="clear" w:color="auto" w:fill="FFFFFF"/>
          <w:lang w:val="en-US" w:eastAsia="zh-CN"/>
        </w:rPr>
        <w:t>66.8%。</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_GB2312" w:hAnsi="宋体" w:eastAsia="仿宋_GB2312"/>
          <w:bCs/>
          <w:color w:val="000000" w:themeColor="text1"/>
          <w:sz w:val="32"/>
          <w:szCs w:val="32"/>
          <w:shd w:val="clear" w:color="auto" w:fill="FFFFFF"/>
          <w:lang w:val="en-US" w:eastAsia="zh-CN"/>
        </w:rPr>
      </w:pPr>
      <w:r>
        <w:drawing>
          <wp:anchor distT="0" distB="0" distL="114300" distR="114300" simplePos="0" relativeHeight="251663360" behindDoc="0" locked="0" layoutInCell="1" allowOverlap="1">
            <wp:simplePos x="0" y="0"/>
            <wp:positionH relativeFrom="column">
              <wp:posOffset>52070</wp:posOffset>
            </wp:positionH>
            <wp:positionV relativeFrom="paragraph">
              <wp:posOffset>174625</wp:posOffset>
            </wp:positionV>
            <wp:extent cx="5274310" cy="2609850"/>
            <wp:effectExtent l="4445" t="4445" r="17145" b="1460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sz w:val="32"/>
          <w:szCs w:val="32"/>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宋体" w:eastAsia="仿宋_GB2312"/>
          <w:bCs/>
          <w:color w:val="000000" w:themeColor="text1"/>
          <w:sz w:val="32"/>
          <w:szCs w:val="32"/>
          <w:shd w:val="clear" w:color="auto" w:fill="FFFFFF"/>
          <w:lang w:val="en-US" w:eastAsia="zh-CN"/>
        </w:rPr>
      </w:pPr>
    </w:p>
    <w:p>
      <w:pPr>
        <w:keepNext w:val="0"/>
        <w:keepLines w:val="0"/>
        <w:pageBreakBefore w:val="0"/>
        <w:widowControl/>
        <w:kinsoku/>
        <w:wordWrap/>
        <w:overflowPunct/>
        <w:topLinePunct w:val="0"/>
        <w:autoSpaceDE/>
        <w:bidi w:val="0"/>
        <w:snapToGrid/>
        <w:spacing w:line="560" w:lineRule="exact"/>
        <w:ind w:left="0" w:firstLine="640" w:firstLineChars="200"/>
        <w:jc w:val="both"/>
        <w:rPr>
          <w:rFonts w:hint="eastAsia" w:ascii="仿宋" w:hAnsi="仿宋" w:eastAsia="仿宋" w:cs="仿宋"/>
          <w:b w:val="0"/>
          <w:bCs/>
          <w:color w:val="000000" w:themeColor="text1"/>
          <w:kern w:val="0"/>
          <w:sz w:val="28"/>
          <w:szCs w:val="28"/>
          <w:shd w:val="clear" w:color="auto" w:fill="FFFFFF"/>
        </w:rPr>
      </w:pPr>
      <w:r>
        <w:rPr>
          <w:rFonts w:hint="eastAsia" w:ascii="仿宋_GB2312" w:hAnsi="宋体" w:eastAsia="仿宋_GB2312" w:cs="Times New Roman"/>
          <w:bCs/>
          <w:color w:val="000000" w:themeColor="text1"/>
          <w:kern w:val="0"/>
          <w:sz w:val="32"/>
          <w:szCs w:val="32"/>
          <w:shd w:val="clear" w:color="auto" w:fill="FFFFFF"/>
          <w:lang w:val="en-US" w:eastAsia="zh-CN" w:bidi="ar-SA"/>
        </w:rPr>
        <w:t>2021年，区级规模以上工业主要分17个大类，全年规模以上工业企业主要工业产品产量：锂离子电池607.6万只，比上年增长139.0%；涂料6.4万吨，增长99.6%；低压开关板4155面，增长91.7%；稀土化合物16771千克，增长61.7%；耐火材料制品41.8万吨，增长54.3%；商品混凝土51.9万立方米，增长37.5%；饮料2.1万吨，增长35.4%；橡胶轮胎外胎164.4万条，增长32.7%；石墨及碳素制品3.8万吨，增长31.7%；印染布1623万米，增长27.2%；铝合金7.2万吨，增长26.4%；合成橡胶1.6万吨，增长21.4%；化学试剂15.4万吨，增长11.7%；塑料制品0.9万吨，增长4.4%；高岭土1.6万吨，下降3.4%；硫酸51.5万吨，下降11.2%；砖651万块，下降91.4%。</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rPr>
      </w:pPr>
      <w:r>
        <w:rPr>
          <w:rFonts w:hint="eastAsia" w:ascii="仿宋" w:hAnsi="仿宋" w:eastAsia="仿宋" w:cs="仿宋"/>
          <w:b/>
          <w:bCs w:val="0"/>
          <w:color w:val="000000" w:themeColor="text1"/>
          <w:kern w:val="0"/>
          <w:sz w:val="28"/>
          <w:szCs w:val="28"/>
          <w:shd w:val="clear" w:color="auto" w:fill="FFFFFF"/>
          <w:lang w:val="en-US" w:eastAsia="zh-CN"/>
        </w:rPr>
        <w:t>表2：2021年中站区规模以上工业主要产品产量及其增长速度</w:t>
      </w:r>
    </w:p>
    <w:tbl>
      <w:tblPr>
        <w:tblStyle w:val="7"/>
        <w:tblW w:w="833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86"/>
        <w:gridCol w:w="1485"/>
        <w:gridCol w:w="1920"/>
        <w:gridCol w:w="11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产品名称</w:t>
            </w:r>
          </w:p>
        </w:tc>
        <w:tc>
          <w:tcPr>
            <w:tcW w:w="1485"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单  位</w:t>
            </w:r>
          </w:p>
        </w:tc>
        <w:tc>
          <w:tcPr>
            <w:tcW w:w="1920"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产 量</w:t>
            </w:r>
          </w:p>
        </w:tc>
        <w:tc>
          <w:tcPr>
            <w:tcW w:w="1142"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增长</w:t>
            </w:r>
            <w:r>
              <w:rPr>
                <w:rStyle w:val="15"/>
                <w:rFonts w:hint="eastAsia" w:ascii="仿宋" w:hAnsi="仿宋" w:eastAsia="仿宋" w:cs="仿宋"/>
                <w:b/>
                <w:bCs/>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锂离子电池</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万只</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607.6</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涂料</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6.4</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低压开关板</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面</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4155</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稀土化合物</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千克</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16771</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耐火材料制品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41.8</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商品混凝土</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万立方米</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51.9</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饮料</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橡胶轮胎外胎</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万条</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164.4</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32.7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石墨及碳素制品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印染布</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万米</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1623</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27.2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铝合金</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7.2</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26.4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合成橡胶</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21.4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化学试剂</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15.4</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11.7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塑料制品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0.9</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高岭土（瓷土）</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1.6</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-3.4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硫酸（折100％）</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万吨</w:t>
            </w:r>
          </w:p>
        </w:tc>
        <w:tc>
          <w:tcPr>
            <w:tcW w:w="1920"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51.5</w:t>
            </w:r>
          </w:p>
        </w:tc>
        <w:tc>
          <w:tcPr>
            <w:tcW w:w="1142" w:type="dxa"/>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Borders>
              <w:bottom w:val="single" w:color="auto" w:sz="4" w:space="0"/>
            </w:tcBorders>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砖</w:t>
            </w:r>
          </w:p>
        </w:tc>
        <w:tc>
          <w:tcPr>
            <w:tcW w:w="1485" w:type="dxa"/>
            <w:tcBorders>
              <w:bottom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万块</w:t>
            </w:r>
          </w:p>
        </w:tc>
        <w:tc>
          <w:tcPr>
            <w:tcW w:w="1920" w:type="dxa"/>
            <w:tcBorders>
              <w:bottom w:val="single" w:color="auto" w:sz="4" w:space="0"/>
            </w:tcBorders>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651</w:t>
            </w:r>
          </w:p>
        </w:tc>
        <w:tc>
          <w:tcPr>
            <w:tcW w:w="1142" w:type="dxa"/>
            <w:tcBorders>
              <w:bottom w:val="single" w:color="auto" w:sz="4" w:space="0"/>
            </w:tcBorders>
            <w:tcMar>
              <w:top w:w="15" w:type="dxa"/>
              <w:left w:w="15" w:type="dxa"/>
              <w:right w:w="15" w:type="dxa"/>
            </w:tcMar>
            <w:vAlign w:val="bottom"/>
          </w:tcPr>
          <w:p>
            <w:pPr>
              <w:keepNext w:val="0"/>
              <w:keepLines w:val="0"/>
              <w:widowControl/>
              <w:suppressLineNumbers w:val="0"/>
              <w:jc w:val="right"/>
              <w:textAlignment w:val="bottom"/>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-91.4</w:t>
            </w:r>
          </w:p>
        </w:tc>
      </w:tr>
    </w:tbl>
    <w:p>
      <w:pPr>
        <w:pStyle w:val="6"/>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FF0000"/>
          <w:sz w:val="32"/>
          <w:szCs w:val="32"/>
        </w:rPr>
      </w:pP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rPr>
        <w:t>全年全区建筑业总产值</w:t>
      </w:r>
      <w:r>
        <w:rPr>
          <w:rFonts w:hint="eastAsia" w:ascii="仿宋" w:hAnsi="仿宋" w:eastAsia="仿宋" w:cs="仿宋"/>
          <w:color w:val="000000" w:themeColor="text1"/>
          <w:sz w:val="32"/>
          <w:szCs w:val="32"/>
          <w:lang w:val="en-US" w:eastAsia="zh-CN"/>
        </w:rPr>
        <w:t>11.7</w:t>
      </w:r>
      <w:r>
        <w:rPr>
          <w:rFonts w:hint="eastAsia" w:ascii="仿宋" w:hAnsi="仿宋" w:eastAsia="仿宋" w:cs="仿宋"/>
          <w:color w:val="000000" w:themeColor="text1"/>
          <w:sz w:val="32"/>
          <w:szCs w:val="32"/>
        </w:rPr>
        <w:t>亿元</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比上年增长</w:t>
      </w:r>
      <w:r>
        <w:rPr>
          <w:rFonts w:hint="eastAsia" w:ascii="仿宋" w:hAnsi="仿宋" w:eastAsia="仿宋" w:cs="仿宋"/>
          <w:color w:val="000000" w:themeColor="text1"/>
          <w:sz w:val="32"/>
          <w:szCs w:val="32"/>
          <w:lang w:val="en-US" w:eastAsia="zh-CN"/>
        </w:rPr>
        <w:t>0.5</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p>
    <w:p>
      <w:pPr>
        <w:pStyle w:val="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lang w:eastAsia="zh-CN"/>
        </w:rPr>
      </w:pPr>
      <w:r>
        <w:rPr>
          <w:rFonts w:hint="eastAsia" w:ascii="仿宋" w:hAnsi="仿宋" w:eastAsia="仿宋" w:cs="仿宋"/>
          <w:b/>
          <w:color w:val="000000" w:themeColor="text1"/>
          <w:sz w:val="32"/>
          <w:szCs w:val="32"/>
          <w:lang w:eastAsia="zh-CN"/>
        </w:rPr>
        <w:t>服务业</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color w:val="000000" w:themeColor="text1"/>
          <w:sz w:val="32"/>
          <w:szCs w:val="32"/>
          <w:lang w:eastAsia="zh-CN"/>
        </w:rPr>
      </w:pPr>
      <w:r>
        <w:rPr>
          <w:rFonts w:hint="eastAsia" w:ascii="仿宋" w:hAnsi="仿宋" w:eastAsia="仿宋" w:cs="仿宋"/>
          <w:color w:val="000000" w:themeColor="text1"/>
          <w:sz w:val="32"/>
          <w:szCs w:val="32"/>
        </w:rPr>
        <w:t>全年全</w:t>
      </w:r>
      <w:r>
        <w:rPr>
          <w:rFonts w:hint="eastAsia" w:ascii="仿宋" w:hAnsi="仿宋" w:eastAsia="仿宋" w:cs="仿宋"/>
          <w:color w:val="000000" w:themeColor="text1"/>
          <w:sz w:val="32"/>
          <w:szCs w:val="32"/>
          <w:lang w:eastAsia="zh-CN"/>
        </w:rPr>
        <w:t>区</w:t>
      </w:r>
      <w:r>
        <w:rPr>
          <w:rFonts w:hint="eastAsia" w:ascii="仿宋" w:hAnsi="仿宋" w:eastAsia="仿宋" w:cs="仿宋"/>
          <w:color w:val="000000" w:themeColor="text1"/>
          <w:sz w:val="32"/>
          <w:szCs w:val="32"/>
        </w:rPr>
        <w:t>批发和零售业增加值</w:t>
      </w:r>
      <w:r>
        <w:rPr>
          <w:rFonts w:hint="eastAsia" w:ascii="仿宋" w:hAnsi="仿宋" w:eastAsia="仿宋" w:cs="仿宋"/>
          <w:color w:val="000000" w:themeColor="text1"/>
          <w:sz w:val="32"/>
          <w:szCs w:val="32"/>
          <w:lang w:val="en-US" w:eastAsia="zh-CN"/>
        </w:rPr>
        <w:t>6.42</w:t>
      </w:r>
      <w:r>
        <w:rPr>
          <w:rFonts w:hint="eastAsia" w:ascii="仿宋" w:hAnsi="仿宋" w:eastAsia="仿宋" w:cs="仿宋"/>
          <w:color w:val="000000" w:themeColor="text1"/>
          <w:sz w:val="32"/>
          <w:szCs w:val="32"/>
        </w:rPr>
        <w:t>亿元，比上年增长</w:t>
      </w:r>
      <w:r>
        <w:rPr>
          <w:rFonts w:hint="eastAsia" w:ascii="仿宋" w:hAnsi="仿宋" w:eastAsia="仿宋" w:cs="仿宋"/>
          <w:color w:val="000000" w:themeColor="text1"/>
          <w:sz w:val="32"/>
          <w:szCs w:val="32"/>
          <w:lang w:val="en-US" w:eastAsia="zh-CN"/>
        </w:rPr>
        <w:t>6.2</w:t>
      </w:r>
      <w:r>
        <w:rPr>
          <w:rFonts w:hint="eastAsia" w:ascii="仿宋" w:hAnsi="仿宋" w:eastAsia="仿宋" w:cs="仿宋"/>
          <w:color w:val="000000" w:themeColor="text1"/>
          <w:sz w:val="32"/>
          <w:szCs w:val="32"/>
        </w:rPr>
        <w:t>%；交通运输、仓储和邮政业增加值</w:t>
      </w:r>
      <w:r>
        <w:rPr>
          <w:rFonts w:hint="eastAsia" w:ascii="仿宋" w:hAnsi="仿宋" w:eastAsia="仿宋" w:cs="仿宋"/>
          <w:color w:val="000000" w:themeColor="text1"/>
          <w:sz w:val="32"/>
          <w:szCs w:val="32"/>
          <w:lang w:val="en-US" w:eastAsia="zh-CN"/>
        </w:rPr>
        <w:t>5.86</w:t>
      </w:r>
      <w:r>
        <w:rPr>
          <w:rFonts w:hint="eastAsia" w:ascii="仿宋" w:hAnsi="仿宋" w:eastAsia="仿宋" w:cs="仿宋"/>
          <w:color w:val="000000" w:themeColor="text1"/>
          <w:sz w:val="32"/>
          <w:szCs w:val="32"/>
        </w:rPr>
        <w:t>亿元，增长</w:t>
      </w:r>
      <w:r>
        <w:rPr>
          <w:rFonts w:hint="eastAsia" w:ascii="仿宋" w:hAnsi="仿宋" w:eastAsia="仿宋" w:cs="仿宋"/>
          <w:color w:val="000000" w:themeColor="text1"/>
          <w:sz w:val="32"/>
          <w:szCs w:val="32"/>
          <w:lang w:val="en-US" w:eastAsia="zh-CN"/>
        </w:rPr>
        <w:t>10.1</w:t>
      </w:r>
      <w:r>
        <w:rPr>
          <w:rFonts w:hint="eastAsia" w:ascii="仿宋" w:hAnsi="仿宋" w:eastAsia="仿宋" w:cs="仿宋"/>
          <w:color w:val="000000" w:themeColor="text1"/>
          <w:sz w:val="32"/>
          <w:szCs w:val="32"/>
        </w:rPr>
        <w:t>%；住宿和餐饮业增加值</w:t>
      </w:r>
      <w:r>
        <w:rPr>
          <w:rFonts w:hint="eastAsia" w:ascii="仿宋" w:hAnsi="仿宋" w:eastAsia="仿宋" w:cs="仿宋"/>
          <w:color w:val="000000" w:themeColor="text1"/>
          <w:sz w:val="32"/>
          <w:szCs w:val="32"/>
          <w:lang w:val="en-US" w:eastAsia="zh-CN"/>
        </w:rPr>
        <w:t>1.0</w:t>
      </w:r>
      <w:r>
        <w:rPr>
          <w:rFonts w:hint="eastAsia" w:ascii="仿宋" w:hAnsi="仿宋" w:eastAsia="仿宋" w:cs="仿宋"/>
          <w:color w:val="000000" w:themeColor="text1"/>
          <w:sz w:val="32"/>
          <w:szCs w:val="32"/>
        </w:rPr>
        <w:t>亿元，增长</w:t>
      </w:r>
      <w:r>
        <w:rPr>
          <w:rFonts w:hint="eastAsia" w:ascii="仿宋" w:hAnsi="仿宋" w:eastAsia="仿宋" w:cs="仿宋"/>
          <w:color w:val="000000" w:themeColor="text1"/>
          <w:sz w:val="32"/>
          <w:szCs w:val="32"/>
          <w:lang w:val="en-US" w:eastAsia="zh-CN"/>
        </w:rPr>
        <w:t>5.1</w:t>
      </w:r>
      <w:r>
        <w:rPr>
          <w:rFonts w:hint="eastAsia" w:ascii="仿宋" w:hAnsi="仿宋" w:eastAsia="仿宋" w:cs="仿宋"/>
          <w:color w:val="000000" w:themeColor="text1"/>
          <w:sz w:val="32"/>
          <w:szCs w:val="32"/>
        </w:rPr>
        <w:t>%；金融业增加值</w:t>
      </w:r>
      <w:r>
        <w:rPr>
          <w:rFonts w:hint="eastAsia" w:ascii="仿宋" w:hAnsi="仿宋" w:eastAsia="仿宋" w:cs="仿宋"/>
          <w:color w:val="000000" w:themeColor="text1"/>
          <w:sz w:val="32"/>
          <w:szCs w:val="32"/>
          <w:lang w:val="en-US" w:eastAsia="zh-CN"/>
        </w:rPr>
        <w:t>2.44</w:t>
      </w:r>
      <w:r>
        <w:rPr>
          <w:rFonts w:hint="eastAsia" w:ascii="仿宋" w:hAnsi="仿宋" w:eastAsia="仿宋" w:cs="仿宋"/>
          <w:color w:val="000000" w:themeColor="text1"/>
          <w:sz w:val="32"/>
          <w:szCs w:val="32"/>
        </w:rPr>
        <w:t>亿元，</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3.4</w:t>
      </w:r>
      <w:r>
        <w:rPr>
          <w:rFonts w:hint="eastAsia" w:ascii="仿宋" w:hAnsi="仿宋" w:eastAsia="仿宋" w:cs="仿宋"/>
          <w:color w:val="000000" w:themeColor="text1"/>
          <w:sz w:val="32"/>
          <w:szCs w:val="32"/>
        </w:rPr>
        <w:t>%；房地产业增加值</w:t>
      </w:r>
      <w:r>
        <w:rPr>
          <w:rFonts w:hint="eastAsia" w:ascii="仿宋" w:hAnsi="仿宋" w:eastAsia="仿宋" w:cs="仿宋"/>
          <w:color w:val="000000" w:themeColor="text1"/>
          <w:sz w:val="32"/>
          <w:szCs w:val="32"/>
          <w:lang w:val="en-US" w:eastAsia="zh-CN"/>
        </w:rPr>
        <w:t>2.43</w:t>
      </w:r>
      <w:r>
        <w:rPr>
          <w:rFonts w:hint="eastAsia" w:ascii="仿宋" w:hAnsi="仿宋" w:eastAsia="仿宋" w:cs="仿宋"/>
          <w:color w:val="000000" w:themeColor="text1"/>
          <w:sz w:val="32"/>
          <w:szCs w:val="32"/>
        </w:rPr>
        <w:t>亿元，增长</w:t>
      </w:r>
      <w:r>
        <w:rPr>
          <w:rFonts w:hint="eastAsia" w:ascii="仿宋" w:hAnsi="仿宋" w:eastAsia="仿宋" w:cs="仿宋"/>
          <w:color w:val="000000" w:themeColor="text1"/>
          <w:sz w:val="32"/>
          <w:szCs w:val="32"/>
          <w:lang w:val="en-US" w:eastAsia="zh-CN"/>
        </w:rPr>
        <w:t>3.7</w:t>
      </w:r>
      <w:r>
        <w:rPr>
          <w:rFonts w:hint="eastAsia" w:ascii="仿宋" w:hAnsi="仿宋" w:eastAsia="仿宋" w:cs="仿宋"/>
          <w:color w:val="000000" w:themeColor="text1"/>
          <w:sz w:val="32"/>
          <w:szCs w:val="32"/>
        </w:rPr>
        <w:t>%；信息传输、软件和信息技术服务业增加值</w:t>
      </w:r>
      <w:r>
        <w:rPr>
          <w:rFonts w:hint="eastAsia" w:ascii="仿宋" w:hAnsi="仿宋" w:eastAsia="仿宋" w:cs="仿宋"/>
          <w:color w:val="000000" w:themeColor="text1"/>
          <w:sz w:val="32"/>
          <w:szCs w:val="32"/>
          <w:lang w:val="en-US" w:eastAsia="zh-CN"/>
        </w:rPr>
        <w:t>2.81</w:t>
      </w:r>
      <w:r>
        <w:rPr>
          <w:rFonts w:hint="eastAsia" w:ascii="仿宋" w:hAnsi="仿宋" w:eastAsia="仿宋" w:cs="仿宋"/>
          <w:color w:val="000000" w:themeColor="text1"/>
          <w:sz w:val="32"/>
          <w:szCs w:val="32"/>
        </w:rPr>
        <w:t>亿元，增长</w:t>
      </w:r>
      <w:r>
        <w:rPr>
          <w:rFonts w:hint="eastAsia" w:ascii="仿宋" w:hAnsi="仿宋" w:eastAsia="仿宋" w:cs="仿宋"/>
          <w:color w:val="000000" w:themeColor="text1"/>
          <w:sz w:val="32"/>
          <w:szCs w:val="32"/>
          <w:lang w:val="en-US" w:eastAsia="zh-CN"/>
        </w:rPr>
        <w:t>6.9</w:t>
      </w:r>
      <w:r>
        <w:rPr>
          <w:rFonts w:hint="eastAsia" w:ascii="仿宋" w:hAnsi="仿宋" w:eastAsia="仿宋" w:cs="仿宋"/>
          <w:color w:val="000000" w:themeColor="text1"/>
          <w:sz w:val="32"/>
          <w:szCs w:val="32"/>
        </w:rPr>
        <w:t>%；全年规模以上服务业企业营业收入</w:t>
      </w:r>
      <w:r>
        <w:rPr>
          <w:rFonts w:hint="eastAsia" w:ascii="仿宋" w:hAnsi="仿宋" w:eastAsia="仿宋" w:cs="仿宋"/>
          <w:color w:val="000000" w:themeColor="text1"/>
          <w:sz w:val="32"/>
          <w:szCs w:val="32"/>
          <w:lang w:val="en-US" w:eastAsia="zh-CN"/>
        </w:rPr>
        <w:t>8.5</w:t>
      </w:r>
      <w:r>
        <w:rPr>
          <w:rFonts w:hint="eastAsia" w:ascii="仿宋" w:hAnsi="仿宋" w:eastAsia="仿宋" w:cs="仿宋"/>
          <w:color w:val="000000" w:themeColor="text1"/>
          <w:sz w:val="32"/>
          <w:szCs w:val="32"/>
        </w:rPr>
        <w:t>亿元，比上年</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3.4</w:t>
      </w:r>
      <w:r>
        <w:rPr>
          <w:rFonts w:hint="eastAsia" w:ascii="仿宋" w:hAnsi="仿宋" w:eastAsia="仿宋" w:cs="仿宋"/>
          <w:color w:val="000000" w:themeColor="text1"/>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五、固定资产投资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全年</w:t>
      </w:r>
      <w:r>
        <w:rPr>
          <w:rFonts w:hint="eastAsia" w:ascii="仿宋" w:hAnsi="仿宋" w:eastAsia="仿宋" w:cs="仿宋"/>
          <w:color w:val="000000" w:themeColor="text1"/>
          <w:sz w:val="32"/>
          <w:szCs w:val="32"/>
          <w:lang w:eastAsia="zh-CN"/>
        </w:rPr>
        <w:t>全区</w:t>
      </w:r>
      <w:r>
        <w:rPr>
          <w:rFonts w:hint="eastAsia" w:ascii="仿宋" w:hAnsi="仿宋" w:eastAsia="仿宋" w:cs="仿宋"/>
          <w:color w:val="000000" w:themeColor="text1"/>
          <w:sz w:val="32"/>
          <w:szCs w:val="32"/>
        </w:rPr>
        <w:t>固定资产投资（不含农户）比上年增长</w:t>
      </w:r>
      <w:r>
        <w:rPr>
          <w:rFonts w:hint="eastAsia" w:ascii="仿宋" w:hAnsi="仿宋" w:eastAsia="仿宋" w:cs="仿宋"/>
          <w:color w:val="000000" w:themeColor="text1"/>
          <w:sz w:val="32"/>
          <w:szCs w:val="32"/>
          <w:lang w:val="en-US" w:eastAsia="zh-CN"/>
        </w:rPr>
        <w:t>14.8</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，其中：第一产业投资基本持平</w:t>
      </w:r>
      <w:r>
        <w:rPr>
          <w:rFonts w:hint="eastAsia" w:ascii="仿宋" w:hAnsi="仿宋" w:eastAsia="仿宋" w:cs="仿宋"/>
          <w:color w:val="000000" w:themeColor="text1"/>
          <w:sz w:val="32"/>
          <w:szCs w:val="32"/>
        </w:rPr>
        <w:t>，第二产业投资增长</w:t>
      </w:r>
      <w:r>
        <w:rPr>
          <w:rFonts w:hint="eastAsia" w:ascii="仿宋" w:hAnsi="仿宋" w:eastAsia="仿宋" w:cs="仿宋"/>
          <w:color w:val="000000" w:themeColor="text1"/>
          <w:sz w:val="32"/>
          <w:szCs w:val="32"/>
          <w:lang w:val="en-US" w:eastAsia="zh-CN"/>
        </w:rPr>
        <w:t>41.6</w:t>
      </w:r>
      <w:r>
        <w:rPr>
          <w:rFonts w:hint="eastAsia" w:ascii="仿宋" w:hAnsi="仿宋" w:eastAsia="仿宋" w:cs="仿宋"/>
          <w:color w:val="000000" w:themeColor="text1"/>
          <w:sz w:val="32"/>
          <w:szCs w:val="32"/>
        </w:rPr>
        <w:t>%，第三产业投资</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33.2</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工业投资</w:t>
      </w:r>
      <w:r>
        <w:rPr>
          <w:rFonts w:hint="eastAsia" w:ascii="仿宋" w:hAnsi="仿宋" w:eastAsia="仿宋" w:cs="仿宋"/>
          <w:sz w:val="32"/>
          <w:szCs w:val="32"/>
        </w:rPr>
        <w:t>比上年</w:t>
      </w:r>
      <w:r>
        <w:rPr>
          <w:rFonts w:hint="eastAsia" w:ascii="仿宋" w:hAnsi="仿宋" w:eastAsia="仿宋" w:cs="仿宋"/>
          <w:color w:val="000000" w:themeColor="text1"/>
          <w:sz w:val="32"/>
          <w:szCs w:val="32"/>
          <w:lang w:eastAsia="zh-CN"/>
        </w:rPr>
        <w:t>增长</w:t>
      </w:r>
      <w:r>
        <w:rPr>
          <w:rFonts w:hint="eastAsia" w:ascii="仿宋" w:hAnsi="仿宋" w:eastAsia="仿宋" w:cs="仿宋"/>
          <w:color w:val="000000" w:themeColor="text1"/>
          <w:sz w:val="32"/>
          <w:szCs w:val="32"/>
          <w:lang w:val="en-US" w:eastAsia="zh-CN"/>
        </w:rPr>
        <w:t>41.6%，占固定资产投资79%；基础设施投资</w:t>
      </w:r>
      <w:r>
        <w:rPr>
          <w:rFonts w:hint="eastAsia" w:ascii="仿宋" w:hAnsi="仿宋" w:eastAsia="仿宋" w:cs="仿宋"/>
          <w:sz w:val="32"/>
          <w:szCs w:val="32"/>
        </w:rPr>
        <w:t>比上年</w:t>
      </w:r>
      <w:r>
        <w:rPr>
          <w:rFonts w:hint="eastAsia" w:ascii="仿宋" w:hAnsi="仿宋" w:eastAsia="仿宋" w:cs="仿宋"/>
          <w:color w:val="000000" w:themeColor="text1"/>
          <w:sz w:val="32"/>
          <w:szCs w:val="32"/>
          <w:lang w:val="en-US" w:eastAsia="zh-CN"/>
        </w:rPr>
        <w:t>增长77.2%，占固定资产投资1.8%；</w:t>
      </w:r>
      <w:r>
        <w:rPr>
          <w:rFonts w:hint="eastAsia" w:ascii="仿宋" w:hAnsi="仿宋" w:eastAsia="仿宋" w:cs="仿宋"/>
          <w:color w:val="000000" w:themeColor="text1"/>
          <w:sz w:val="32"/>
          <w:szCs w:val="32"/>
        </w:rPr>
        <w:t>民间投资</w:t>
      </w:r>
      <w:r>
        <w:rPr>
          <w:rFonts w:hint="eastAsia" w:ascii="仿宋" w:hAnsi="仿宋" w:eastAsia="仿宋" w:cs="仿宋"/>
          <w:sz w:val="32"/>
          <w:szCs w:val="32"/>
        </w:rPr>
        <w:t>比上年</w:t>
      </w:r>
      <w:r>
        <w:rPr>
          <w:rFonts w:hint="eastAsia" w:ascii="仿宋" w:hAnsi="仿宋" w:eastAsia="仿宋" w:cs="仿宋"/>
          <w:color w:val="000000" w:themeColor="text1"/>
          <w:sz w:val="32"/>
          <w:szCs w:val="32"/>
          <w:lang w:eastAsia="zh-CN"/>
        </w:rPr>
        <w:t>增长</w:t>
      </w:r>
      <w:r>
        <w:rPr>
          <w:rFonts w:hint="eastAsia" w:ascii="仿宋" w:hAnsi="仿宋" w:eastAsia="仿宋" w:cs="仿宋"/>
          <w:color w:val="000000" w:themeColor="text1"/>
          <w:sz w:val="32"/>
          <w:szCs w:val="32"/>
          <w:lang w:val="en-US" w:eastAsia="zh-CN"/>
        </w:rPr>
        <w:t>27.2%，占固定资产投资78.4%；房地产开发投资</w:t>
      </w:r>
      <w:r>
        <w:rPr>
          <w:rFonts w:hint="eastAsia" w:ascii="仿宋" w:hAnsi="仿宋" w:eastAsia="仿宋" w:cs="仿宋"/>
          <w:sz w:val="32"/>
          <w:szCs w:val="32"/>
        </w:rPr>
        <w:t>比上年</w:t>
      </w:r>
      <w:r>
        <w:rPr>
          <w:rFonts w:hint="eastAsia" w:ascii="仿宋" w:hAnsi="仿宋" w:eastAsia="仿宋" w:cs="仿宋"/>
          <w:color w:val="000000" w:themeColor="text1"/>
          <w:sz w:val="32"/>
          <w:szCs w:val="32"/>
          <w:lang w:val="en-US" w:eastAsia="zh-CN"/>
        </w:rPr>
        <w:t>增长231.4%，占固定资产投资8.2%。</w:t>
      </w:r>
    </w:p>
    <w:p>
      <w:pPr>
        <w:pStyle w:val="2"/>
        <w:ind w:left="0" w:leftChars="0" w:firstLine="0" w:firstLineChars="0"/>
        <w:rPr>
          <w:rFonts w:hint="eastAsia" w:ascii="仿宋" w:hAnsi="仿宋" w:eastAsia="仿宋" w:cs="仿宋"/>
          <w:color w:val="000000" w:themeColor="text1"/>
          <w:sz w:val="32"/>
          <w:szCs w:val="32"/>
          <w:lang w:val="en-US" w:eastAsia="zh-CN"/>
        </w:rPr>
      </w:pPr>
      <w:r>
        <w:drawing>
          <wp:inline distT="0" distB="0" distL="114300" distR="114300">
            <wp:extent cx="5270500" cy="2635250"/>
            <wp:effectExtent l="4445" t="4445" r="20955"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ind w:left="0" w:leftChars="0" w:firstLine="0" w:firstLineChars="0"/>
        <w:rPr>
          <w:rFonts w:hint="eastAsia" w:ascii="仿宋" w:hAnsi="仿宋" w:eastAsia="仿宋" w:cs="仿宋"/>
          <w:color w:val="000000" w:themeColor="text1"/>
          <w:sz w:val="32"/>
          <w:szCs w:val="32"/>
          <w:lang w:val="en-US" w:eastAsia="zh-CN"/>
        </w:rPr>
      </w:pPr>
      <w:r>
        <w:drawing>
          <wp:inline distT="0" distB="0" distL="114300" distR="114300">
            <wp:extent cx="5270500" cy="2621280"/>
            <wp:effectExtent l="4445" t="4445" r="20955" b="222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全年西部产业集聚区固定资产投资比上年增长52.4%，占固定资产投资的比重达81.6%，比上年上升20个百分点。</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lang w:eastAsia="zh-CN"/>
        </w:rPr>
        <w:t>六、</w:t>
      </w:r>
      <w:r>
        <w:rPr>
          <w:rFonts w:hint="eastAsia" w:ascii="仿宋" w:hAnsi="仿宋" w:eastAsia="仿宋" w:cs="仿宋"/>
          <w:b/>
          <w:color w:val="000000" w:themeColor="text1"/>
          <w:sz w:val="32"/>
          <w:szCs w:val="32"/>
        </w:rPr>
        <w:t>国内贸易</w:t>
      </w:r>
    </w:p>
    <w:p>
      <w:pPr>
        <w:keepNext w:val="0"/>
        <w:keepLines w:val="0"/>
        <w:pageBreakBefore w:val="0"/>
        <w:widowControl/>
        <w:kinsoku/>
        <w:wordWrap/>
        <w:overflowPunct/>
        <w:topLinePunct w:val="0"/>
        <w:autoSpaceDE/>
        <w:bidi w:val="0"/>
        <w:snapToGrid/>
        <w:spacing w:line="560" w:lineRule="exact"/>
        <w:ind w:left="0" w:firstLine="640" w:firstLineChars="2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全年</w:t>
      </w:r>
      <w:r>
        <w:rPr>
          <w:rFonts w:hint="eastAsia" w:ascii="仿宋" w:hAnsi="仿宋" w:eastAsia="仿宋" w:cs="宋体"/>
          <w:color w:val="000000"/>
          <w:kern w:val="0"/>
          <w:sz w:val="32"/>
          <w:szCs w:val="32"/>
        </w:rPr>
        <w:t>全区社会消费品零售总额完成</w:t>
      </w:r>
      <w:r>
        <w:rPr>
          <w:rFonts w:hint="eastAsia" w:ascii="仿宋" w:hAnsi="仿宋" w:eastAsia="仿宋" w:cs="宋体"/>
          <w:color w:val="000000"/>
          <w:kern w:val="0"/>
          <w:sz w:val="32"/>
          <w:szCs w:val="32"/>
          <w:lang w:val="en-US" w:eastAsia="zh-CN"/>
        </w:rPr>
        <w:t>30.2亿元</w:t>
      </w:r>
      <w:r>
        <w:rPr>
          <w:rFonts w:hint="eastAsia" w:ascii="仿宋" w:hAnsi="仿宋" w:eastAsia="仿宋" w:cs="宋体"/>
          <w:color w:val="000000"/>
          <w:kern w:val="0"/>
          <w:sz w:val="32"/>
          <w:szCs w:val="32"/>
        </w:rPr>
        <w:t>，比上年</w:t>
      </w:r>
      <w:r>
        <w:rPr>
          <w:rFonts w:hint="eastAsia" w:ascii="仿宋" w:hAnsi="仿宋" w:eastAsia="仿宋" w:cs="宋体"/>
          <w:color w:val="000000"/>
          <w:kern w:val="0"/>
          <w:sz w:val="32"/>
          <w:szCs w:val="32"/>
          <w:lang w:eastAsia="zh-CN"/>
        </w:rPr>
        <w:t>增长</w:t>
      </w:r>
      <w:r>
        <w:rPr>
          <w:rFonts w:hint="eastAsia" w:ascii="仿宋" w:hAnsi="仿宋" w:eastAsia="仿宋" w:cs="宋体"/>
          <w:color w:val="000000"/>
          <w:kern w:val="0"/>
          <w:sz w:val="32"/>
          <w:szCs w:val="32"/>
          <w:lang w:val="en-US" w:eastAsia="zh-CN"/>
        </w:rPr>
        <w:t>14.8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全区限额以上销售额达到</w:t>
      </w:r>
      <w:r>
        <w:rPr>
          <w:rFonts w:hint="eastAsia" w:ascii="仿宋" w:hAnsi="仿宋" w:eastAsia="仿宋" w:cs="宋体"/>
          <w:color w:val="000000"/>
          <w:kern w:val="0"/>
          <w:sz w:val="32"/>
          <w:szCs w:val="32"/>
          <w:lang w:val="en-US" w:eastAsia="zh-CN"/>
        </w:rPr>
        <w:t>52.4亿元，比上年增长13.6%，</w:t>
      </w:r>
      <w:r>
        <w:rPr>
          <w:rFonts w:hint="eastAsia" w:ascii="仿宋" w:hAnsi="仿宋" w:eastAsia="仿宋" w:cs="宋体"/>
          <w:color w:val="000000"/>
          <w:kern w:val="0"/>
          <w:sz w:val="32"/>
          <w:szCs w:val="32"/>
        </w:rPr>
        <w:t>按分行业统计，批发业</w:t>
      </w:r>
      <w:r>
        <w:rPr>
          <w:rFonts w:hint="eastAsia" w:ascii="仿宋" w:hAnsi="仿宋" w:eastAsia="仿宋" w:cs="宋体"/>
          <w:color w:val="000000"/>
          <w:kern w:val="0"/>
          <w:sz w:val="32"/>
          <w:szCs w:val="32"/>
          <w:lang w:val="en-US" w:eastAsia="zh-CN"/>
        </w:rPr>
        <w:t>28.5</w:t>
      </w:r>
      <w:r>
        <w:rPr>
          <w:rFonts w:hint="eastAsia" w:ascii="仿宋" w:hAnsi="仿宋" w:eastAsia="仿宋" w:cs="宋体"/>
          <w:color w:val="000000"/>
          <w:kern w:val="0"/>
          <w:sz w:val="32"/>
          <w:szCs w:val="32"/>
          <w:lang w:eastAsia="zh-CN"/>
        </w:rPr>
        <w:t>亿</w:t>
      </w:r>
      <w:r>
        <w:rPr>
          <w:rFonts w:hint="eastAsia" w:ascii="仿宋" w:hAnsi="仿宋" w:eastAsia="仿宋" w:cs="宋体"/>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s="宋体"/>
          <w:color w:val="000000"/>
          <w:kern w:val="0"/>
          <w:sz w:val="32"/>
          <w:szCs w:val="32"/>
          <w:lang w:val="en-US" w:eastAsia="zh-CN"/>
        </w:rPr>
        <w:t>14.5</w:t>
      </w:r>
      <w:r>
        <w:rPr>
          <w:rFonts w:hint="eastAsia" w:ascii="仿宋" w:hAnsi="仿宋" w:eastAsia="仿宋" w:cs="宋体"/>
          <w:color w:val="000000"/>
          <w:kern w:val="0"/>
          <w:sz w:val="32"/>
          <w:szCs w:val="32"/>
        </w:rPr>
        <w:t>%；零售业</w:t>
      </w:r>
      <w:r>
        <w:rPr>
          <w:rFonts w:hint="eastAsia" w:ascii="仿宋" w:hAnsi="仿宋" w:eastAsia="仿宋" w:cs="宋体"/>
          <w:color w:val="000000"/>
          <w:kern w:val="0"/>
          <w:sz w:val="32"/>
          <w:szCs w:val="32"/>
          <w:lang w:val="en-US" w:eastAsia="zh-CN"/>
        </w:rPr>
        <w:t>22.4</w:t>
      </w:r>
      <w:r>
        <w:rPr>
          <w:rFonts w:hint="eastAsia" w:ascii="仿宋" w:hAnsi="仿宋" w:eastAsia="仿宋" w:cs="宋体"/>
          <w:color w:val="000000"/>
          <w:kern w:val="0"/>
          <w:sz w:val="32"/>
          <w:szCs w:val="32"/>
          <w:lang w:eastAsia="zh-CN"/>
        </w:rPr>
        <w:t>亿</w:t>
      </w:r>
      <w:r>
        <w:rPr>
          <w:rFonts w:hint="eastAsia" w:ascii="仿宋" w:hAnsi="仿宋" w:eastAsia="仿宋" w:cs="宋体"/>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s="宋体"/>
          <w:color w:val="000000"/>
          <w:kern w:val="0"/>
          <w:sz w:val="32"/>
          <w:szCs w:val="32"/>
          <w:lang w:val="en-US" w:eastAsia="zh-CN"/>
        </w:rPr>
        <w:t>12.8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住宿餐饮业</w:t>
      </w:r>
      <w:r>
        <w:rPr>
          <w:rFonts w:hint="eastAsia" w:ascii="仿宋" w:hAnsi="仿宋" w:eastAsia="仿宋" w:cs="宋体"/>
          <w:color w:val="000000"/>
          <w:kern w:val="0"/>
          <w:sz w:val="32"/>
          <w:szCs w:val="32"/>
          <w:lang w:val="en-US" w:eastAsia="zh-CN"/>
        </w:rPr>
        <w:t>1.5亿</w:t>
      </w:r>
      <w:r>
        <w:rPr>
          <w:rFonts w:hint="eastAsia" w:ascii="仿宋" w:hAnsi="仿宋" w:eastAsia="仿宋" w:cs="宋体"/>
          <w:color w:val="000000"/>
          <w:kern w:val="0"/>
          <w:sz w:val="32"/>
          <w:szCs w:val="32"/>
        </w:rPr>
        <w:t>元，比上年增长</w:t>
      </w:r>
      <w:r>
        <w:rPr>
          <w:rFonts w:hint="eastAsia" w:ascii="仿宋" w:hAnsi="仿宋" w:eastAsia="仿宋" w:cs="宋体"/>
          <w:color w:val="000000"/>
          <w:kern w:val="0"/>
          <w:sz w:val="32"/>
          <w:szCs w:val="32"/>
          <w:lang w:val="en-US" w:eastAsia="zh-CN"/>
        </w:rPr>
        <w:t>8.8</w:t>
      </w:r>
      <w:r>
        <w:rPr>
          <w:rFonts w:hint="eastAsia" w:ascii="仿宋" w:hAnsi="仿宋" w:eastAsia="仿宋" w:cs="宋体"/>
          <w:color w:val="000000"/>
          <w:kern w:val="0"/>
          <w:sz w:val="32"/>
          <w:szCs w:val="32"/>
        </w:rPr>
        <w:t>%。</w:t>
      </w:r>
    </w:p>
    <w:p>
      <w:pPr>
        <w:pStyle w:val="2"/>
        <w:ind w:left="0" w:leftChars="0" w:firstLine="0" w:firstLineChars="0"/>
        <w:rPr>
          <w:rFonts w:hint="eastAsia" w:ascii="仿宋" w:hAnsi="仿宋" w:eastAsia="仿宋" w:cs="宋体"/>
          <w:color w:val="000000"/>
          <w:kern w:val="0"/>
          <w:sz w:val="32"/>
          <w:szCs w:val="32"/>
        </w:rPr>
      </w:pPr>
      <w:r>
        <w:drawing>
          <wp:inline distT="0" distB="0" distL="114300" distR="114300">
            <wp:extent cx="5274310" cy="2770505"/>
            <wp:effectExtent l="4445" t="4445" r="17145" b="635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ind w:left="0" w:leftChars="0" w:firstLine="640" w:firstLineChars="200"/>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全年全区限额以上单位消费品零售额中，粮油食品类零售额比上年增长40.5%，饮料类增长24.9%，烟酒类增长9.8%，服装、鞋帽、针纺织品类下降43%，日用品类增长3.7%，家用电器和音像器材类下降90.6%，汽车类增长0.6%。</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lang w:eastAsia="zh-CN"/>
        </w:rPr>
        <w:t>七</w:t>
      </w:r>
      <w:r>
        <w:rPr>
          <w:rFonts w:hint="eastAsia" w:ascii="仿宋" w:hAnsi="仿宋" w:eastAsia="仿宋" w:cs="仿宋"/>
          <w:b/>
          <w:color w:val="000000" w:themeColor="text1"/>
          <w:sz w:val="32"/>
          <w:szCs w:val="32"/>
        </w:rPr>
        <w:t>、对外经济</w:t>
      </w:r>
    </w:p>
    <w:p>
      <w:pPr>
        <w:keepNext w:val="0"/>
        <w:keepLines w:val="0"/>
        <w:pageBreakBefore w:val="0"/>
        <w:kinsoku/>
        <w:wordWrap/>
        <w:overflowPunct/>
        <w:topLinePunct w:val="0"/>
        <w:autoSpaceDE/>
        <w:autoSpaceDN/>
        <w:bidi w:val="0"/>
        <w:adjustRightInd/>
        <w:snapToGrid/>
        <w:spacing w:line="560" w:lineRule="exact"/>
        <w:ind w:firstLine="633" w:firstLineChars="198"/>
        <w:jc w:val="both"/>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lang w:eastAsia="zh-CN"/>
        </w:rPr>
        <w:t>全年全区</w:t>
      </w:r>
      <w:r>
        <w:rPr>
          <w:rFonts w:hint="eastAsia" w:ascii="仿宋" w:hAnsi="仿宋" w:eastAsia="仿宋" w:cs="仿宋"/>
          <w:color w:val="000000" w:themeColor="text1"/>
          <w:kern w:val="0"/>
          <w:sz w:val="32"/>
          <w:szCs w:val="32"/>
        </w:rPr>
        <w:t>货物贸易进出口总额完成51.8亿元，同比增长13.1%，其中出口41.6亿元，同比增长8.8%，进口10.2亿元，同比增长34.2%。货物贸易顺差31.4亿元，比上年增加0.8亿元。</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lang w:eastAsia="zh-CN"/>
        </w:rPr>
        <w:t>全年</w:t>
      </w:r>
      <w:r>
        <w:rPr>
          <w:rFonts w:hint="eastAsia" w:ascii="仿宋" w:hAnsi="仿宋" w:eastAsia="仿宋" w:cs="仿宋"/>
          <w:color w:val="000000" w:themeColor="text1"/>
          <w:kern w:val="0"/>
          <w:sz w:val="32"/>
          <w:szCs w:val="32"/>
        </w:rPr>
        <w:t>全区实际吸收外商投资3900万美元，完成市定任务的101.3％。</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lang w:eastAsia="zh-CN"/>
        </w:rPr>
      </w:pPr>
      <w:r>
        <w:rPr>
          <w:rFonts w:hint="eastAsia" w:ascii="仿宋" w:hAnsi="仿宋" w:eastAsia="仿宋" w:cs="仿宋"/>
          <w:b/>
          <w:color w:val="000000" w:themeColor="text1"/>
          <w:sz w:val="32"/>
          <w:szCs w:val="32"/>
          <w:lang w:eastAsia="zh-CN"/>
        </w:rPr>
        <w:t>八、财政金融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全年</w:t>
      </w:r>
      <w:r>
        <w:rPr>
          <w:rFonts w:hint="eastAsia" w:ascii="仿宋" w:hAnsi="仿宋" w:eastAsia="仿宋" w:cs="仿宋"/>
          <w:color w:val="000000" w:themeColor="text1"/>
          <w:kern w:val="0"/>
          <w:sz w:val="32"/>
          <w:szCs w:val="32"/>
          <w:lang w:eastAsia="zh-CN"/>
        </w:rPr>
        <w:t>全区</w:t>
      </w:r>
      <w:r>
        <w:rPr>
          <w:rFonts w:hint="eastAsia" w:ascii="仿宋" w:hAnsi="仿宋" w:eastAsia="仿宋" w:cs="仿宋"/>
          <w:color w:val="000000" w:themeColor="text1"/>
          <w:kern w:val="0"/>
          <w:sz w:val="32"/>
          <w:szCs w:val="32"/>
          <w:lang w:val="en-US" w:eastAsia="zh-CN"/>
        </w:rPr>
        <w:t>一般</w:t>
      </w:r>
      <w:r>
        <w:rPr>
          <w:rFonts w:hint="eastAsia" w:ascii="仿宋" w:hAnsi="仿宋" w:eastAsia="仿宋" w:cs="仿宋"/>
          <w:color w:val="000000" w:themeColor="text1"/>
          <w:kern w:val="0"/>
          <w:sz w:val="32"/>
          <w:szCs w:val="32"/>
        </w:rPr>
        <w:t>公共预算收入</w:t>
      </w:r>
      <w:r>
        <w:rPr>
          <w:rFonts w:hint="eastAsia" w:ascii="仿宋" w:hAnsi="仿宋" w:eastAsia="仿宋" w:cs="仿宋"/>
          <w:color w:val="000000" w:themeColor="text1"/>
          <w:kern w:val="0"/>
          <w:sz w:val="32"/>
          <w:szCs w:val="32"/>
          <w:lang w:val="en-US" w:eastAsia="zh-CN"/>
        </w:rPr>
        <w:t>10.1亿</w:t>
      </w:r>
      <w:r>
        <w:rPr>
          <w:rFonts w:hint="eastAsia" w:ascii="仿宋" w:hAnsi="仿宋" w:eastAsia="仿宋" w:cs="仿宋"/>
          <w:color w:val="000000" w:themeColor="text1"/>
          <w:kern w:val="0"/>
          <w:sz w:val="32"/>
          <w:szCs w:val="32"/>
        </w:rPr>
        <w:t>元，</w:t>
      </w:r>
      <w:r>
        <w:rPr>
          <w:rFonts w:hint="eastAsia" w:ascii="仿宋" w:hAnsi="仿宋" w:eastAsia="仿宋" w:cs="仿宋"/>
          <w:color w:val="000000" w:themeColor="text1"/>
          <w:kern w:val="0"/>
          <w:sz w:val="32"/>
          <w:szCs w:val="32"/>
          <w:lang w:val="en-US" w:eastAsia="zh-CN"/>
        </w:rPr>
        <w:t>增长15.6</w:t>
      </w:r>
      <w:r>
        <w:rPr>
          <w:rFonts w:hint="eastAsia" w:ascii="仿宋" w:hAnsi="仿宋" w:eastAsia="仿宋" w:cs="仿宋"/>
          <w:color w:val="000000" w:themeColor="text1"/>
          <w:kern w:val="0"/>
          <w:sz w:val="32"/>
          <w:szCs w:val="32"/>
        </w:rPr>
        <w:t>%，其中：税收收入</w:t>
      </w:r>
      <w:r>
        <w:rPr>
          <w:rFonts w:hint="eastAsia" w:ascii="仿宋" w:hAnsi="仿宋" w:eastAsia="仿宋" w:cs="仿宋"/>
          <w:color w:val="000000" w:themeColor="text1"/>
          <w:kern w:val="0"/>
          <w:sz w:val="32"/>
          <w:szCs w:val="32"/>
          <w:lang w:val="en-US" w:eastAsia="zh-CN"/>
        </w:rPr>
        <w:t>9.1亿</w:t>
      </w:r>
      <w:r>
        <w:rPr>
          <w:rFonts w:hint="eastAsia" w:ascii="仿宋" w:hAnsi="仿宋" w:eastAsia="仿宋" w:cs="仿宋"/>
          <w:color w:val="000000" w:themeColor="text1"/>
          <w:kern w:val="0"/>
          <w:sz w:val="32"/>
          <w:szCs w:val="32"/>
        </w:rPr>
        <w:t>元，</w:t>
      </w:r>
      <w:r>
        <w:rPr>
          <w:rFonts w:hint="eastAsia" w:ascii="仿宋" w:hAnsi="仿宋" w:eastAsia="仿宋" w:cs="仿宋"/>
          <w:color w:val="000000" w:themeColor="text1"/>
          <w:kern w:val="0"/>
          <w:sz w:val="32"/>
          <w:szCs w:val="32"/>
          <w:lang w:val="en-US" w:eastAsia="zh-CN"/>
        </w:rPr>
        <w:t>增长26.3</w:t>
      </w:r>
      <w:r>
        <w:rPr>
          <w:rFonts w:hint="eastAsia" w:ascii="仿宋" w:hAnsi="仿宋" w:eastAsia="仿宋" w:cs="仿宋"/>
          <w:color w:val="000000" w:themeColor="text1"/>
          <w:kern w:val="0"/>
          <w:sz w:val="32"/>
          <w:szCs w:val="32"/>
        </w:rPr>
        <w:t>%，占</w:t>
      </w:r>
      <w:r>
        <w:rPr>
          <w:rFonts w:hint="eastAsia" w:ascii="仿宋" w:hAnsi="仿宋" w:eastAsia="仿宋" w:cs="仿宋"/>
          <w:color w:val="000000" w:themeColor="text1"/>
          <w:kern w:val="0"/>
          <w:sz w:val="32"/>
          <w:szCs w:val="32"/>
          <w:lang w:val="en-US" w:eastAsia="zh-CN"/>
        </w:rPr>
        <w:t>一般</w:t>
      </w:r>
      <w:r>
        <w:rPr>
          <w:rFonts w:hint="eastAsia" w:ascii="仿宋" w:hAnsi="仿宋" w:eastAsia="仿宋" w:cs="仿宋"/>
          <w:color w:val="000000" w:themeColor="text1"/>
          <w:kern w:val="0"/>
          <w:sz w:val="32"/>
          <w:szCs w:val="32"/>
        </w:rPr>
        <w:t>公共预算收入的比重为</w:t>
      </w:r>
      <w:r>
        <w:rPr>
          <w:rFonts w:hint="eastAsia" w:ascii="仿宋" w:hAnsi="仿宋" w:eastAsia="仿宋" w:cs="仿宋"/>
          <w:color w:val="000000" w:themeColor="text1"/>
          <w:kern w:val="0"/>
          <w:sz w:val="32"/>
          <w:szCs w:val="32"/>
          <w:lang w:val="en-US" w:eastAsia="zh-CN"/>
        </w:rPr>
        <w:t>89.9</w:t>
      </w:r>
      <w:r>
        <w:rPr>
          <w:rFonts w:hint="eastAsia" w:ascii="仿宋" w:hAnsi="仿宋" w:eastAsia="仿宋" w:cs="仿宋"/>
          <w:color w:val="000000" w:themeColor="text1"/>
          <w:kern w:val="0"/>
          <w:sz w:val="32"/>
          <w:szCs w:val="32"/>
        </w:rPr>
        <w:t>%。</w:t>
      </w:r>
      <w:r>
        <w:rPr>
          <w:rFonts w:hint="eastAsia" w:ascii="仿宋" w:hAnsi="仿宋" w:eastAsia="仿宋" w:cs="仿宋"/>
          <w:color w:val="000000" w:themeColor="text1"/>
          <w:kern w:val="0"/>
          <w:sz w:val="32"/>
          <w:szCs w:val="32"/>
          <w:lang w:val="en-US" w:eastAsia="zh-CN"/>
        </w:rPr>
        <w:t>一般</w:t>
      </w:r>
      <w:r>
        <w:rPr>
          <w:rFonts w:hint="eastAsia" w:ascii="仿宋" w:hAnsi="仿宋" w:eastAsia="仿宋" w:cs="仿宋"/>
          <w:color w:val="000000" w:themeColor="text1"/>
          <w:kern w:val="0"/>
          <w:sz w:val="32"/>
          <w:szCs w:val="32"/>
        </w:rPr>
        <w:t>公共预算支出</w:t>
      </w:r>
      <w:r>
        <w:rPr>
          <w:rFonts w:hint="eastAsia" w:ascii="仿宋" w:hAnsi="仿宋" w:eastAsia="仿宋" w:cs="仿宋"/>
          <w:color w:val="000000" w:themeColor="text1"/>
          <w:kern w:val="0"/>
          <w:sz w:val="32"/>
          <w:szCs w:val="32"/>
          <w:lang w:val="en-US" w:eastAsia="zh-CN"/>
        </w:rPr>
        <w:t>11.2亿</w:t>
      </w:r>
      <w:r>
        <w:rPr>
          <w:rFonts w:hint="eastAsia" w:ascii="仿宋" w:hAnsi="仿宋" w:eastAsia="仿宋" w:cs="仿宋"/>
          <w:color w:val="000000" w:themeColor="text1"/>
          <w:kern w:val="0"/>
          <w:sz w:val="32"/>
          <w:szCs w:val="32"/>
        </w:rPr>
        <w:t>元，</w:t>
      </w:r>
      <w:r>
        <w:rPr>
          <w:rFonts w:hint="eastAsia" w:ascii="仿宋" w:hAnsi="仿宋" w:eastAsia="仿宋" w:cs="仿宋"/>
          <w:color w:val="000000" w:themeColor="text1"/>
          <w:kern w:val="0"/>
          <w:sz w:val="32"/>
          <w:szCs w:val="32"/>
          <w:lang w:val="en-US" w:eastAsia="zh-CN"/>
        </w:rPr>
        <w:t>下降10</w:t>
      </w:r>
      <w:r>
        <w:rPr>
          <w:rFonts w:hint="eastAsia" w:ascii="仿宋" w:hAnsi="仿宋" w:eastAsia="仿宋" w:cs="仿宋"/>
          <w:color w:val="000000" w:themeColor="text1"/>
          <w:kern w:val="0"/>
          <w:sz w:val="32"/>
          <w:szCs w:val="32"/>
        </w:rPr>
        <w:t>%，其中：一般公共服务支出</w:t>
      </w:r>
      <w:r>
        <w:rPr>
          <w:rFonts w:hint="eastAsia" w:ascii="仿宋" w:hAnsi="仿宋" w:eastAsia="仿宋" w:cs="仿宋"/>
          <w:color w:val="000000" w:themeColor="text1"/>
          <w:kern w:val="0"/>
          <w:sz w:val="32"/>
          <w:szCs w:val="32"/>
          <w:lang w:val="en-US" w:eastAsia="zh-CN"/>
        </w:rPr>
        <w:t>1.5亿</w:t>
      </w:r>
      <w:r>
        <w:rPr>
          <w:rFonts w:hint="eastAsia" w:ascii="仿宋" w:hAnsi="仿宋" w:eastAsia="仿宋" w:cs="仿宋"/>
          <w:color w:val="000000" w:themeColor="text1"/>
          <w:kern w:val="0"/>
          <w:sz w:val="32"/>
          <w:szCs w:val="32"/>
        </w:rPr>
        <w:t>元，增长</w:t>
      </w:r>
      <w:r>
        <w:rPr>
          <w:rFonts w:hint="eastAsia" w:ascii="仿宋" w:hAnsi="仿宋" w:eastAsia="仿宋" w:cs="仿宋"/>
          <w:color w:val="000000" w:themeColor="text1"/>
          <w:kern w:val="0"/>
          <w:sz w:val="32"/>
          <w:szCs w:val="32"/>
          <w:lang w:val="en-US" w:eastAsia="zh-CN"/>
        </w:rPr>
        <w:t>30.4</w:t>
      </w:r>
      <w:r>
        <w:rPr>
          <w:rFonts w:hint="eastAsia" w:ascii="仿宋" w:hAnsi="仿宋" w:eastAsia="仿宋" w:cs="仿宋"/>
          <w:color w:val="000000" w:themeColor="text1"/>
          <w:kern w:val="0"/>
          <w:sz w:val="32"/>
          <w:szCs w:val="32"/>
        </w:rPr>
        <w:t>%；医疗卫生支出</w:t>
      </w:r>
      <w:r>
        <w:rPr>
          <w:rFonts w:hint="eastAsia" w:ascii="仿宋" w:hAnsi="仿宋" w:eastAsia="仿宋" w:cs="仿宋"/>
          <w:color w:val="000000" w:themeColor="text1"/>
          <w:kern w:val="0"/>
          <w:sz w:val="32"/>
          <w:szCs w:val="32"/>
          <w:lang w:val="en-US" w:eastAsia="zh-CN"/>
        </w:rPr>
        <w:t>0.7亿</w:t>
      </w:r>
      <w:r>
        <w:rPr>
          <w:rFonts w:hint="eastAsia" w:ascii="仿宋" w:hAnsi="仿宋" w:eastAsia="仿宋" w:cs="仿宋"/>
          <w:color w:val="000000" w:themeColor="text1"/>
          <w:kern w:val="0"/>
          <w:sz w:val="32"/>
          <w:szCs w:val="32"/>
        </w:rPr>
        <w:t>元，</w:t>
      </w:r>
      <w:r>
        <w:rPr>
          <w:rFonts w:hint="eastAsia" w:ascii="仿宋" w:hAnsi="仿宋" w:eastAsia="仿宋" w:cs="仿宋"/>
          <w:color w:val="000000" w:themeColor="text1"/>
          <w:kern w:val="0"/>
          <w:sz w:val="32"/>
          <w:szCs w:val="32"/>
          <w:lang w:val="en-US" w:eastAsia="zh-CN"/>
        </w:rPr>
        <w:t>下降5.9</w:t>
      </w:r>
      <w:r>
        <w:rPr>
          <w:rFonts w:hint="eastAsia" w:ascii="仿宋" w:hAnsi="仿宋" w:eastAsia="仿宋" w:cs="仿宋"/>
          <w:color w:val="000000" w:themeColor="text1"/>
          <w:kern w:val="0"/>
          <w:sz w:val="32"/>
          <w:szCs w:val="32"/>
        </w:rPr>
        <w:t>%；教育支出</w:t>
      </w:r>
      <w:r>
        <w:rPr>
          <w:rFonts w:hint="eastAsia" w:ascii="仿宋" w:hAnsi="仿宋" w:eastAsia="仿宋" w:cs="仿宋"/>
          <w:color w:val="000000" w:themeColor="text1"/>
          <w:kern w:val="0"/>
          <w:sz w:val="32"/>
          <w:szCs w:val="32"/>
          <w:lang w:val="en-US" w:eastAsia="zh-CN"/>
        </w:rPr>
        <w:t>1.9亿</w:t>
      </w:r>
      <w:r>
        <w:rPr>
          <w:rFonts w:hint="eastAsia" w:ascii="仿宋" w:hAnsi="仿宋" w:eastAsia="仿宋" w:cs="仿宋"/>
          <w:color w:val="000000" w:themeColor="text1"/>
          <w:kern w:val="0"/>
          <w:sz w:val="32"/>
          <w:szCs w:val="32"/>
        </w:rPr>
        <w:t>元，增长</w:t>
      </w:r>
      <w:r>
        <w:rPr>
          <w:rFonts w:hint="eastAsia" w:ascii="仿宋" w:hAnsi="仿宋" w:eastAsia="仿宋" w:cs="仿宋"/>
          <w:color w:val="000000" w:themeColor="text1"/>
          <w:kern w:val="0"/>
          <w:sz w:val="32"/>
          <w:szCs w:val="32"/>
          <w:lang w:val="en-US" w:eastAsia="zh-CN"/>
        </w:rPr>
        <w:t>4.8</w:t>
      </w:r>
      <w:r>
        <w:rPr>
          <w:rFonts w:hint="eastAsia" w:ascii="仿宋" w:hAnsi="仿宋" w:eastAsia="仿宋" w:cs="仿宋"/>
          <w:color w:val="000000" w:themeColor="text1"/>
          <w:kern w:val="0"/>
          <w:sz w:val="32"/>
          <w:szCs w:val="32"/>
        </w:rPr>
        <w:t>%；农林水事务支出</w:t>
      </w:r>
      <w:r>
        <w:rPr>
          <w:rFonts w:hint="eastAsia" w:ascii="仿宋" w:hAnsi="仿宋" w:eastAsia="仿宋" w:cs="仿宋"/>
          <w:color w:val="000000" w:themeColor="text1"/>
          <w:kern w:val="0"/>
          <w:sz w:val="32"/>
          <w:szCs w:val="32"/>
          <w:lang w:val="en-US" w:eastAsia="zh-CN"/>
        </w:rPr>
        <w:t>0.5亿</w:t>
      </w:r>
      <w:r>
        <w:rPr>
          <w:rFonts w:hint="eastAsia" w:ascii="仿宋" w:hAnsi="仿宋" w:eastAsia="仿宋" w:cs="仿宋"/>
          <w:color w:val="000000" w:themeColor="text1"/>
          <w:kern w:val="0"/>
          <w:sz w:val="32"/>
          <w:szCs w:val="32"/>
        </w:rPr>
        <w:t>元，增长</w:t>
      </w:r>
      <w:r>
        <w:rPr>
          <w:rFonts w:hint="eastAsia" w:ascii="仿宋" w:hAnsi="仿宋" w:eastAsia="仿宋" w:cs="仿宋"/>
          <w:color w:val="000000" w:themeColor="text1"/>
          <w:kern w:val="0"/>
          <w:sz w:val="32"/>
          <w:szCs w:val="32"/>
          <w:lang w:val="en-US" w:eastAsia="zh-CN"/>
        </w:rPr>
        <w:t>11.5</w:t>
      </w:r>
      <w:r>
        <w:rPr>
          <w:rFonts w:hint="eastAsia" w:ascii="仿宋" w:hAnsi="仿宋" w:eastAsia="仿宋" w:cs="仿宋"/>
          <w:color w:val="000000" w:themeColor="text1"/>
          <w:kern w:val="0"/>
          <w:sz w:val="32"/>
          <w:szCs w:val="32"/>
        </w:rPr>
        <w:t>%。</w:t>
      </w:r>
    </w:p>
    <w:p>
      <w:pPr>
        <w:pStyle w:val="2"/>
        <w:ind w:left="0" w:leftChars="0" w:firstLine="0" w:firstLineChars="0"/>
        <w:rPr>
          <w:rFonts w:hint="eastAsia" w:ascii="仿宋" w:hAnsi="仿宋" w:eastAsia="仿宋" w:cs="仿宋"/>
          <w:color w:val="000000" w:themeColor="text1"/>
          <w:kern w:val="0"/>
          <w:sz w:val="32"/>
          <w:szCs w:val="32"/>
        </w:rPr>
      </w:pPr>
      <w:r>
        <w:drawing>
          <wp:inline distT="0" distB="0" distL="114300" distR="114300">
            <wp:extent cx="5270500" cy="2520950"/>
            <wp:effectExtent l="4445" t="4445" r="20955" b="82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rPr>
      </w:pPr>
      <w:r>
        <w:rPr>
          <w:rFonts w:hint="eastAsia" w:ascii="仿宋_GB2312" w:hAnsi="仿宋_GB2312" w:eastAsia="仿宋_GB2312" w:cs="仿宋_GB2312"/>
          <w:i w:val="0"/>
          <w:caps w:val="0"/>
          <w:color w:val="000000" w:themeColor="text1"/>
          <w:spacing w:val="0"/>
          <w:kern w:val="2"/>
          <w:sz w:val="32"/>
          <w:szCs w:val="32"/>
          <w:lang w:val="en-US" w:eastAsia="zh-CN" w:bidi="ar-SA"/>
        </w:rPr>
        <w:t>年末全区金融机构各项人民币存款余额</w:t>
      </w:r>
      <w:r>
        <w:rPr>
          <w:rFonts w:hint="eastAsia" w:ascii="仿宋_GB2312" w:hAnsi="仿宋_GB2312" w:eastAsia="仿宋_GB2312" w:cs="仿宋_GB2312"/>
          <w:i w:val="0"/>
          <w:caps w:val="0"/>
          <w:color w:val="000000" w:themeColor="text1"/>
          <w:spacing w:val="0"/>
          <w:sz w:val="32"/>
          <w:szCs w:val="32"/>
          <w:lang w:val="en-US" w:eastAsia="zh-CN"/>
        </w:rPr>
        <w:t>72.99</w:t>
      </w:r>
      <w:r>
        <w:rPr>
          <w:rFonts w:hint="eastAsia" w:ascii="仿宋_GB2312" w:hAnsi="仿宋_GB2312" w:eastAsia="仿宋_GB2312" w:cs="仿宋_GB2312"/>
          <w:i w:val="0"/>
          <w:caps w:val="0"/>
          <w:color w:val="000000" w:themeColor="text1"/>
          <w:spacing w:val="0"/>
          <w:sz w:val="32"/>
          <w:szCs w:val="32"/>
          <w:lang w:eastAsia="zh-CN"/>
        </w:rPr>
        <w:t>亿</w:t>
      </w:r>
      <w:r>
        <w:rPr>
          <w:rFonts w:hint="eastAsia" w:ascii="仿宋_GB2312" w:hAnsi="仿宋_GB2312" w:eastAsia="仿宋_GB2312" w:cs="仿宋_GB2312"/>
          <w:i w:val="0"/>
          <w:caps w:val="0"/>
          <w:color w:val="000000" w:themeColor="text1"/>
          <w:spacing w:val="0"/>
          <w:sz w:val="32"/>
          <w:szCs w:val="32"/>
        </w:rPr>
        <w:t>元，比上年末增长</w:t>
      </w:r>
      <w:r>
        <w:rPr>
          <w:rFonts w:hint="eastAsia" w:ascii="仿宋_GB2312" w:hAnsi="仿宋_GB2312" w:eastAsia="仿宋_GB2312" w:cs="仿宋_GB2312"/>
          <w:i w:val="0"/>
          <w:caps w:val="0"/>
          <w:color w:val="000000" w:themeColor="text1"/>
          <w:spacing w:val="0"/>
          <w:sz w:val="32"/>
          <w:szCs w:val="32"/>
          <w:lang w:val="en-US" w:eastAsia="zh-CN"/>
        </w:rPr>
        <w:t>7.3</w:t>
      </w:r>
      <w:r>
        <w:rPr>
          <w:rFonts w:hint="eastAsia" w:ascii="仿宋_GB2312" w:hAnsi="仿宋_GB2312" w:eastAsia="仿宋_GB2312" w:cs="仿宋_GB2312"/>
          <w:i w:val="0"/>
          <w:caps w:val="0"/>
          <w:color w:val="000000" w:themeColor="text1"/>
          <w:spacing w:val="0"/>
          <w:sz w:val="32"/>
          <w:szCs w:val="32"/>
        </w:rPr>
        <w:t>%。其中，</w:t>
      </w:r>
      <w:r>
        <w:rPr>
          <w:rFonts w:hint="eastAsia" w:ascii="仿宋_GB2312" w:hAnsi="仿宋_GB2312" w:eastAsia="仿宋_GB2312" w:cs="仿宋_GB2312"/>
          <w:i w:val="0"/>
          <w:caps w:val="0"/>
          <w:color w:val="000000" w:themeColor="text1"/>
          <w:spacing w:val="0"/>
          <w:sz w:val="32"/>
          <w:szCs w:val="32"/>
          <w:lang w:eastAsia="zh-CN"/>
        </w:rPr>
        <w:t>居民（储蓄）</w:t>
      </w:r>
      <w:r>
        <w:rPr>
          <w:rFonts w:hint="eastAsia" w:ascii="仿宋_GB2312" w:hAnsi="仿宋_GB2312" w:eastAsia="仿宋_GB2312" w:cs="仿宋_GB2312"/>
          <w:i w:val="0"/>
          <w:caps w:val="0"/>
          <w:color w:val="000000" w:themeColor="text1"/>
          <w:spacing w:val="0"/>
          <w:sz w:val="32"/>
          <w:szCs w:val="32"/>
        </w:rPr>
        <w:t>存款余额</w:t>
      </w:r>
      <w:r>
        <w:rPr>
          <w:rFonts w:hint="eastAsia" w:ascii="仿宋_GB2312" w:hAnsi="仿宋_GB2312" w:eastAsia="仿宋_GB2312" w:cs="仿宋_GB2312"/>
          <w:i w:val="0"/>
          <w:caps w:val="0"/>
          <w:color w:val="000000" w:themeColor="text1"/>
          <w:spacing w:val="0"/>
          <w:sz w:val="32"/>
          <w:szCs w:val="32"/>
          <w:lang w:val="en-US" w:eastAsia="zh-CN"/>
        </w:rPr>
        <w:t>49.29</w:t>
      </w:r>
      <w:r>
        <w:rPr>
          <w:rFonts w:hint="eastAsia" w:ascii="仿宋_GB2312" w:hAnsi="仿宋_GB2312" w:eastAsia="仿宋_GB2312" w:cs="仿宋_GB2312"/>
          <w:i w:val="0"/>
          <w:caps w:val="0"/>
          <w:color w:val="000000" w:themeColor="text1"/>
          <w:spacing w:val="0"/>
          <w:sz w:val="32"/>
          <w:szCs w:val="32"/>
          <w:lang w:eastAsia="zh-CN"/>
        </w:rPr>
        <w:t>亿</w:t>
      </w:r>
      <w:r>
        <w:rPr>
          <w:rFonts w:hint="eastAsia" w:ascii="仿宋_GB2312" w:hAnsi="仿宋_GB2312" w:eastAsia="仿宋_GB2312" w:cs="仿宋_GB2312"/>
          <w:i w:val="0"/>
          <w:caps w:val="0"/>
          <w:color w:val="000000" w:themeColor="text1"/>
          <w:spacing w:val="0"/>
          <w:sz w:val="32"/>
          <w:szCs w:val="32"/>
        </w:rPr>
        <w:t>元，增长</w:t>
      </w:r>
      <w:r>
        <w:rPr>
          <w:rFonts w:hint="eastAsia" w:ascii="仿宋_GB2312" w:hAnsi="仿宋_GB2312" w:eastAsia="仿宋_GB2312" w:cs="仿宋_GB2312"/>
          <w:i w:val="0"/>
          <w:caps w:val="0"/>
          <w:color w:val="000000" w:themeColor="text1"/>
          <w:spacing w:val="0"/>
          <w:sz w:val="32"/>
          <w:szCs w:val="32"/>
          <w:lang w:val="en-US" w:eastAsia="zh-CN"/>
        </w:rPr>
        <w:t>12.71</w:t>
      </w:r>
      <w:r>
        <w:rPr>
          <w:rFonts w:hint="eastAsia" w:ascii="仿宋_GB2312" w:hAnsi="仿宋_GB2312" w:eastAsia="仿宋_GB2312" w:cs="仿宋_GB2312"/>
          <w:i w:val="0"/>
          <w:caps w:val="0"/>
          <w:color w:val="000000" w:themeColor="text1"/>
          <w:spacing w:val="0"/>
          <w:sz w:val="32"/>
          <w:szCs w:val="32"/>
        </w:rPr>
        <w:t>%。各项人民币贷款余额</w:t>
      </w:r>
      <w:r>
        <w:rPr>
          <w:rFonts w:hint="eastAsia" w:ascii="仿宋_GB2312" w:hAnsi="仿宋_GB2312" w:eastAsia="仿宋_GB2312" w:cs="仿宋_GB2312"/>
          <w:i w:val="0"/>
          <w:caps w:val="0"/>
          <w:color w:val="000000" w:themeColor="text1"/>
          <w:spacing w:val="0"/>
          <w:sz w:val="32"/>
          <w:szCs w:val="32"/>
          <w:lang w:val="en-US" w:eastAsia="zh-CN"/>
        </w:rPr>
        <w:t>50.14亿</w:t>
      </w:r>
      <w:r>
        <w:rPr>
          <w:rFonts w:hint="eastAsia" w:ascii="仿宋_GB2312" w:hAnsi="仿宋_GB2312" w:eastAsia="仿宋_GB2312" w:cs="仿宋_GB2312"/>
          <w:i w:val="0"/>
          <w:caps w:val="0"/>
          <w:color w:val="000000" w:themeColor="text1"/>
          <w:spacing w:val="0"/>
          <w:sz w:val="32"/>
          <w:szCs w:val="32"/>
        </w:rPr>
        <w:t>元，增长</w:t>
      </w:r>
      <w:r>
        <w:rPr>
          <w:rFonts w:hint="eastAsia" w:ascii="仿宋_GB2312" w:hAnsi="仿宋_GB2312" w:eastAsia="仿宋_GB2312" w:cs="仿宋_GB2312"/>
          <w:i w:val="0"/>
          <w:caps w:val="0"/>
          <w:color w:val="000000" w:themeColor="text1"/>
          <w:spacing w:val="0"/>
          <w:sz w:val="32"/>
          <w:szCs w:val="32"/>
          <w:lang w:val="en-US" w:eastAsia="zh-CN"/>
        </w:rPr>
        <w:t>7.59</w:t>
      </w:r>
      <w:r>
        <w:rPr>
          <w:rFonts w:hint="eastAsia" w:ascii="仿宋_GB2312" w:hAnsi="仿宋_GB2312" w:eastAsia="仿宋_GB2312" w:cs="仿宋_GB2312"/>
          <w:i w:val="0"/>
          <w:caps w:val="0"/>
          <w:color w:val="000000" w:themeColor="text1"/>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rPr>
      </w:pPr>
      <w:r>
        <w:rPr>
          <w:rFonts w:hint="eastAsia" w:ascii="仿宋_GB2312" w:hAnsi="仿宋_GB2312" w:eastAsia="仿宋_GB2312" w:cs="仿宋_GB2312"/>
          <w:i w:val="0"/>
          <w:caps w:val="0"/>
          <w:color w:val="000000" w:themeColor="text1"/>
          <w:spacing w:val="0"/>
          <w:sz w:val="32"/>
          <w:szCs w:val="32"/>
        </w:rPr>
        <w:t>年末</w:t>
      </w:r>
      <w:r>
        <w:rPr>
          <w:rFonts w:hint="eastAsia" w:ascii="仿宋_GB2312" w:hAnsi="仿宋_GB2312" w:eastAsia="仿宋_GB2312" w:cs="仿宋_GB2312"/>
          <w:i w:val="0"/>
          <w:caps w:val="0"/>
          <w:color w:val="000000" w:themeColor="text1"/>
          <w:spacing w:val="0"/>
          <w:sz w:val="32"/>
          <w:szCs w:val="32"/>
          <w:lang w:eastAsia="zh-CN"/>
        </w:rPr>
        <w:t>全区</w:t>
      </w:r>
      <w:r>
        <w:rPr>
          <w:rFonts w:hint="eastAsia" w:ascii="仿宋_GB2312" w:hAnsi="仿宋_GB2312" w:eastAsia="仿宋_GB2312" w:cs="仿宋_GB2312"/>
          <w:i w:val="0"/>
          <w:caps w:val="0"/>
          <w:color w:val="000000" w:themeColor="text1"/>
          <w:spacing w:val="0"/>
          <w:sz w:val="32"/>
          <w:szCs w:val="32"/>
        </w:rPr>
        <w:t>全区共有</w:t>
      </w:r>
      <w:r>
        <w:rPr>
          <w:rFonts w:hint="eastAsia" w:ascii="仿宋_GB2312" w:hAnsi="仿宋_GB2312" w:eastAsia="仿宋_GB2312" w:cs="仿宋_GB2312"/>
          <w:i w:val="0"/>
          <w:caps w:val="0"/>
          <w:color w:val="000000" w:themeColor="text1"/>
          <w:spacing w:val="0"/>
          <w:sz w:val="32"/>
          <w:szCs w:val="32"/>
          <w:lang w:eastAsia="zh-CN"/>
        </w:rPr>
        <w:t>境内</w:t>
      </w:r>
      <w:r>
        <w:rPr>
          <w:rFonts w:hint="eastAsia" w:ascii="仿宋_GB2312" w:hAnsi="仿宋_GB2312" w:eastAsia="仿宋_GB2312" w:cs="仿宋_GB2312"/>
          <w:i w:val="0"/>
          <w:caps w:val="0"/>
          <w:color w:val="000000" w:themeColor="text1"/>
          <w:spacing w:val="0"/>
          <w:sz w:val="32"/>
          <w:szCs w:val="32"/>
        </w:rPr>
        <w:t>上</w:t>
      </w:r>
      <w:r>
        <w:rPr>
          <w:rFonts w:hint="eastAsia" w:ascii="仿宋_GB2312" w:hAnsi="仿宋_GB2312" w:eastAsia="仿宋_GB2312" w:cs="仿宋_GB2312"/>
          <w:i w:val="0"/>
          <w:caps w:val="0"/>
          <w:color w:val="000000" w:themeColor="text1"/>
          <w:spacing w:val="0"/>
          <w:sz w:val="32"/>
          <w:szCs w:val="32"/>
          <w:lang w:eastAsia="zh-CN"/>
        </w:rPr>
        <w:t>市</w:t>
      </w:r>
      <w:r>
        <w:rPr>
          <w:rFonts w:hint="eastAsia" w:ascii="仿宋_GB2312" w:hAnsi="仿宋_GB2312" w:eastAsia="仿宋_GB2312" w:cs="仿宋_GB2312"/>
          <w:i w:val="0"/>
          <w:caps w:val="0"/>
          <w:color w:val="000000" w:themeColor="text1"/>
          <w:spacing w:val="0"/>
          <w:sz w:val="32"/>
          <w:szCs w:val="32"/>
        </w:rPr>
        <w:t>公司</w:t>
      </w:r>
      <w:r>
        <w:rPr>
          <w:rFonts w:hint="eastAsia" w:ascii="仿宋_GB2312" w:hAnsi="仿宋_GB2312" w:eastAsia="仿宋_GB2312" w:cs="仿宋_GB2312"/>
          <w:i w:val="0"/>
          <w:caps w:val="0"/>
          <w:color w:val="000000" w:themeColor="text1"/>
          <w:spacing w:val="0"/>
          <w:sz w:val="32"/>
          <w:szCs w:val="32"/>
          <w:lang w:val="en-US" w:eastAsia="zh-CN"/>
        </w:rPr>
        <w:t>2</w:t>
      </w:r>
      <w:r>
        <w:rPr>
          <w:rFonts w:hint="eastAsia" w:ascii="仿宋_GB2312" w:hAnsi="仿宋_GB2312" w:eastAsia="仿宋_GB2312" w:cs="仿宋_GB2312"/>
          <w:i w:val="0"/>
          <w:caps w:val="0"/>
          <w:color w:val="000000" w:themeColor="text1"/>
          <w:spacing w:val="0"/>
          <w:sz w:val="32"/>
          <w:szCs w:val="32"/>
        </w:rPr>
        <w:t>家</w:t>
      </w:r>
      <w:r>
        <w:rPr>
          <w:rFonts w:hint="eastAsia" w:ascii="仿宋_GB2312" w:hAnsi="仿宋_GB2312" w:eastAsia="仿宋_GB2312" w:cs="仿宋_GB2312"/>
          <w:i w:val="0"/>
          <w:caps w:val="0"/>
          <w:color w:val="000000" w:themeColor="text1"/>
          <w:spacing w:val="0"/>
          <w:sz w:val="32"/>
          <w:szCs w:val="32"/>
          <w:lang w:eastAsia="zh-CN"/>
        </w:rPr>
        <w:t>，新三板挂牌公司</w:t>
      </w:r>
      <w:r>
        <w:rPr>
          <w:rFonts w:hint="eastAsia" w:ascii="仿宋_GB2312" w:hAnsi="仿宋_GB2312" w:eastAsia="仿宋_GB2312" w:cs="仿宋_GB2312"/>
          <w:i w:val="0"/>
          <w:caps w:val="0"/>
          <w:color w:val="000000" w:themeColor="text1"/>
          <w:spacing w:val="0"/>
          <w:sz w:val="32"/>
          <w:szCs w:val="32"/>
          <w:lang w:val="en-US" w:eastAsia="zh-CN"/>
        </w:rPr>
        <w:t>1家</w:t>
      </w:r>
      <w:r>
        <w:rPr>
          <w:rFonts w:hint="eastAsia" w:ascii="仿宋_GB2312" w:hAnsi="仿宋_GB2312" w:eastAsia="仿宋_GB2312" w:cs="仿宋_GB2312"/>
          <w:i w:val="0"/>
          <w:caps w:val="0"/>
          <w:color w:val="000000" w:themeColor="text1"/>
          <w:spacing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eastAsia"/>
        </w:rPr>
      </w:pPr>
      <w:r>
        <w:rPr>
          <w:rFonts w:hint="eastAsia" w:ascii="仿宋_GB2312" w:hAnsi="仿宋_GB2312" w:eastAsia="仿宋_GB2312" w:cs="仿宋_GB2312"/>
          <w:i w:val="0"/>
          <w:caps w:val="0"/>
          <w:color w:val="000000" w:themeColor="text1"/>
          <w:spacing w:val="0"/>
          <w:kern w:val="0"/>
          <w:sz w:val="32"/>
          <w:szCs w:val="32"/>
          <w:lang w:val="en-US" w:eastAsia="zh-CN" w:bidi="ar"/>
        </w:rPr>
        <w:t>全年保险公司保费收入12310.89万元。其中，财产险保费收入12310.89万元。全年赔款支出6722.4万元。其中,财产险赔款支出6722.4万元。</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lang w:eastAsia="zh-CN"/>
        </w:rPr>
        <w:t>九、居民收入消费和社会保障</w:t>
      </w:r>
    </w:p>
    <w:p>
      <w:pPr>
        <w:keepNext w:val="0"/>
        <w:keepLines w:val="0"/>
        <w:pageBreakBefore w:val="0"/>
        <w:kinsoku/>
        <w:wordWrap/>
        <w:overflowPunct/>
        <w:topLinePunct w:val="0"/>
        <w:autoSpaceDE/>
        <w:bidi w:val="0"/>
        <w:snapToGrid/>
        <w:spacing w:line="560" w:lineRule="exact"/>
        <w:ind w:left="0" w:firstLine="720" w:firstLineChars="200"/>
        <w:jc w:val="both"/>
        <w:textAlignment w:val="bottom"/>
        <w:rPr>
          <w:rFonts w:hint="eastAsia" w:ascii="仿宋" w:hAnsi="仿宋" w:eastAsia="仿宋"/>
          <w:color w:val="000000"/>
          <w:kern w:val="0"/>
          <w:sz w:val="32"/>
          <w:szCs w:val="32"/>
        </w:rPr>
      </w:pPr>
      <w:r>
        <w:rPr>
          <w:rFonts w:hint="eastAsia" w:ascii="仿宋_GB2312" w:hAnsi="仿宋_GB2312" w:eastAsia="仿宋_GB2312" w:cs="仿宋_GB2312"/>
          <w:color w:val="000000"/>
          <w:spacing w:val="20"/>
          <w:sz w:val="32"/>
          <w:szCs w:val="32"/>
          <w:lang w:eastAsia="zh-CN"/>
        </w:rPr>
        <w:t>全年全区</w:t>
      </w:r>
      <w:r>
        <w:rPr>
          <w:rFonts w:hint="eastAsia" w:ascii="仿宋" w:hAnsi="仿宋" w:eastAsia="仿宋"/>
          <w:color w:val="000000"/>
          <w:kern w:val="0"/>
          <w:sz w:val="32"/>
          <w:szCs w:val="32"/>
        </w:rPr>
        <w:t>居民人均可支配收入</w:t>
      </w:r>
      <w:r>
        <w:rPr>
          <w:rFonts w:hint="eastAsia" w:ascii="仿宋" w:hAnsi="仿宋" w:eastAsia="仿宋"/>
          <w:color w:val="000000"/>
          <w:kern w:val="0"/>
          <w:sz w:val="32"/>
          <w:szCs w:val="32"/>
          <w:lang w:val="en-US" w:eastAsia="zh-CN"/>
        </w:rPr>
        <w:t>28645</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olor w:val="000000"/>
          <w:kern w:val="0"/>
          <w:sz w:val="32"/>
          <w:szCs w:val="32"/>
          <w:lang w:val="en-US" w:eastAsia="zh-CN"/>
        </w:rPr>
        <w:t>8.1</w:t>
      </w:r>
      <w:r>
        <w:rPr>
          <w:rFonts w:hint="eastAsia" w:ascii="仿宋" w:hAnsi="仿宋" w:eastAsia="仿宋"/>
          <w:color w:val="000000"/>
          <w:kern w:val="0"/>
          <w:sz w:val="32"/>
          <w:szCs w:val="32"/>
        </w:rPr>
        <w:t>%</w:t>
      </w:r>
      <w:r>
        <w:rPr>
          <w:rFonts w:hint="eastAsia" w:ascii="仿宋" w:hAnsi="仿宋" w:eastAsia="仿宋"/>
          <w:color w:val="000000"/>
          <w:kern w:val="0"/>
          <w:sz w:val="32"/>
          <w:szCs w:val="32"/>
          <w:lang w:eastAsia="zh-CN"/>
        </w:rPr>
        <w:t>。按常住地分，</w:t>
      </w:r>
      <w:r>
        <w:rPr>
          <w:rFonts w:hint="eastAsia" w:ascii="仿宋" w:hAnsi="仿宋" w:eastAsia="仿宋"/>
          <w:color w:val="000000"/>
          <w:kern w:val="0"/>
          <w:sz w:val="32"/>
          <w:szCs w:val="32"/>
        </w:rPr>
        <w:t>城镇居民人均可支配收入</w:t>
      </w:r>
      <w:r>
        <w:rPr>
          <w:rFonts w:hint="eastAsia" w:ascii="仿宋" w:hAnsi="仿宋" w:eastAsia="仿宋"/>
          <w:color w:val="000000"/>
          <w:kern w:val="0"/>
          <w:sz w:val="32"/>
          <w:szCs w:val="32"/>
          <w:lang w:val="en-US" w:eastAsia="zh-CN"/>
        </w:rPr>
        <w:t>33026</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olor w:val="000000"/>
          <w:kern w:val="0"/>
          <w:sz w:val="32"/>
          <w:szCs w:val="32"/>
          <w:lang w:val="en-US" w:eastAsia="zh-CN"/>
        </w:rPr>
        <w:t>5.6</w:t>
      </w:r>
      <w:r>
        <w:rPr>
          <w:rFonts w:hint="eastAsia" w:ascii="仿宋" w:hAnsi="仿宋" w:eastAsia="仿宋"/>
          <w:color w:val="000000"/>
          <w:kern w:val="0"/>
          <w:sz w:val="32"/>
          <w:szCs w:val="32"/>
        </w:rPr>
        <w:t>%；农民人均可支配收入</w:t>
      </w:r>
      <w:r>
        <w:rPr>
          <w:rFonts w:hint="eastAsia" w:ascii="仿宋" w:hAnsi="仿宋" w:eastAsia="仿宋"/>
          <w:color w:val="000000"/>
          <w:kern w:val="0"/>
          <w:sz w:val="32"/>
          <w:szCs w:val="32"/>
          <w:lang w:val="en-US" w:eastAsia="zh-CN"/>
        </w:rPr>
        <w:t>20992</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olor w:val="000000"/>
          <w:kern w:val="0"/>
          <w:sz w:val="32"/>
          <w:szCs w:val="32"/>
          <w:lang w:val="en-US" w:eastAsia="zh-CN"/>
        </w:rPr>
        <w:t>8.9</w:t>
      </w:r>
      <w:r>
        <w:rPr>
          <w:rFonts w:hint="eastAsia" w:ascii="仿宋" w:hAnsi="仿宋" w:eastAsia="仿宋"/>
          <w:color w:val="000000"/>
          <w:kern w:val="0"/>
          <w:sz w:val="32"/>
          <w:szCs w:val="32"/>
        </w:rPr>
        <w:t>%；</w:t>
      </w:r>
      <w:r>
        <w:rPr>
          <w:rFonts w:hint="eastAsia" w:ascii="仿宋_GB2312" w:hAnsi="宋体" w:eastAsia="仿宋_GB2312"/>
          <w:bCs/>
          <w:color w:val="000000"/>
          <w:kern w:val="0"/>
          <w:sz w:val="32"/>
          <w:szCs w:val="32"/>
          <w:shd w:val="clear" w:color="auto" w:fill="FFFFFF"/>
        </w:rPr>
        <w:t>城乡</w:t>
      </w:r>
      <w:r>
        <w:rPr>
          <w:rFonts w:hint="eastAsia" w:ascii="仿宋_GB2312" w:hAnsi="宋体" w:eastAsia="仿宋_GB2312"/>
          <w:bCs/>
          <w:color w:val="000000"/>
          <w:kern w:val="0"/>
          <w:sz w:val="32"/>
          <w:szCs w:val="32"/>
          <w:shd w:val="clear" w:color="auto" w:fill="FFFFFF"/>
          <w:lang w:eastAsia="zh-CN"/>
        </w:rPr>
        <w:t>居民人均可支配收入比值</w:t>
      </w:r>
      <w:r>
        <w:rPr>
          <w:rFonts w:hint="eastAsia" w:ascii="仿宋_GB2312" w:hAnsi="宋体" w:eastAsia="仿宋_GB2312"/>
          <w:bCs/>
          <w:color w:val="000000"/>
          <w:kern w:val="0"/>
          <w:sz w:val="32"/>
          <w:szCs w:val="32"/>
          <w:shd w:val="clear" w:color="auto" w:fill="FFFFFF"/>
        </w:rPr>
        <w:t>为1.</w:t>
      </w:r>
      <w:r>
        <w:rPr>
          <w:rFonts w:hint="eastAsia" w:ascii="仿宋_GB2312" w:hAnsi="宋体" w:eastAsia="仿宋_GB2312"/>
          <w:bCs/>
          <w:color w:val="000000"/>
          <w:kern w:val="0"/>
          <w:sz w:val="32"/>
          <w:szCs w:val="32"/>
          <w:shd w:val="clear" w:color="auto" w:fill="FFFFFF"/>
          <w:lang w:val="en-US" w:eastAsia="zh-CN"/>
        </w:rPr>
        <w:t>573，比上年缩小0.05</w:t>
      </w:r>
      <w:r>
        <w:rPr>
          <w:rFonts w:hint="eastAsia" w:ascii="仿宋" w:hAnsi="仿宋" w:eastAsia="仿宋"/>
          <w:color w:val="000000"/>
          <w:kern w:val="0"/>
          <w:sz w:val="32"/>
          <w:szCs w:val="32"/>
        </w:rPr>
        <w:t>。</w:t>
      </w:r>
    </w:p>
    <w:p>
      <w:pPr>
        <w:pStyle w:val="2"/>
        <w:rPr>
          <w:rFonts w:hint="eastAsia" w:ascii="仿宋" w:hAnsi="仿宋" w:eastAsia="仿宋"/>
          <w:color w:val="000000"/>
          <w:kern w:val="0"/>
          <w:sz w:val="32"/>
          <w:szCs w:val="32"/>
        </w:rPr>
      </w:pPr>
    </w:p>
    <w:p>
      <w:pPr>
        <w:pStyle w:val="2"/>
        <w:rPr>
          <w:rFonts w:hint="eastAsia" w:ascii="仿宋" w:hAnsi="仿宋" w:eastAsia="仿宋"/>
          <w:color w:val="000000"/>
          <w:kern w:val="0"/>
          <w:sz w:val="32"/>
          <w:szCs w:val="32"/>
        </w:rPr>
      </w:pPr>
      <w:r>
        <w:drawing>
          <wp:anchor distT="0" distB="0" distL="114300" distR="114300" simplePos="0" relativeHeight="251662336" behindDoc="0" locked="0" layoutInCell="1" allowOverlap="1">
            <wp:simplePos x="0" y="0"/>
            <wp:positionH relativeFrom="column">
              <wp:posOffset>3175</wp:posOffset>
            </wp:positionH>
            <wp:positionV relativeFrom="paragraph">
              <wp:posOffset>57785</wp:posOffset>
            </wp:positionV>
            <wp:extent cx="5270500" cy="2672080"/>
            <wp:effectExtent l="4445" t="4445" r="20955" b="952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hint="eastAsia" w:ascii="仿宋" w:hAnsi="仿宋" w:eastAsia="仿宋"/>
          <w:color w:val="000000"/>
          <w:kern w:val="0"/>
          <w:sz w:val="32"/>
          <w:szCs w:val="32"/>
        </w:rPr>
      </w:pPr>
    </w:p>
    <w:p>
      <w:pPr>
        <w:pStyle w:val="2"/>
        <w:rPr>
          <w:rFonts w:hint="eastAsia" w:ascii="仿宋" w:hAnsi="仿宋" w:eastAsia="仿宋"/>
          <w:color w:val="000000"/>
          <w:kern w:val="0"/>
          <w:sz w:val="32"/>
          <w:szCs w:val="32"/>
        </w:rPr>
      </w:pPr>
    </w:p>
    <w:p>
      <w:pPr>
        <w:pStyle w:val="2"/>
        <w:rPr>
          <w:rFonts w:hint="eastAsia" w:ascii="仿宋" w:hAnsi="仿宋" w:eastAsia="仿宋"/>
          <w:color w:val="000000"/>
          <w:kern w:val="0"/>
          <w:sz w:val="32"/>
          <w:szCs w:val="32"/>
          <w:lang w:eastAsia="zh-CN"/>
        </w:rPr>
      </w:pPr>
    </w:p>
    <w:p>
      <w:pPr>
        <w:pStyle w:val="2"/>
        <w:ind w:left="0" w:leftChars="0" w:firstLine="0" w:firstLineChars="0"/>
        <w:rPr>
          <w:rFonts w:hint="eastAsia" w:ascii="仿宋" w:hAnsi="仿宋" w:eastAsia="仿宋"/>
          <w:color w:val="000000"/>
          <w:kern w:val="0"/>
          <w:sz w:val="32"/>
          <w:szCs w:val="32"/>
          <w:lang w:eastAsia="zh-CN"/>
        </w:rPr>
      </w:pPr>
    </w:p>
    <w:p>
      <w:pPr>
        <w:pStyle w:val="2"/>
        <w:ind w:left="0" w:leftChars="0" w:firstLine="0" w:firstLineChars="0"/>
        <w:rPr>
          <w:rFonts w:hint="eastAsia" w:ascii="仿宋" w:hAnsi="仿宋" w:eastAsia="仿宋"/>
          <w:color w:val="000000"/>
          <w:kern w:val="0"/>
          <w:sz w:val="32"/>
          <w:szCs w:val="32"/>
          <w:lang w:eastAsia="zh-CN"/>
        </w:rPr>
      </w:pPr>
    </w:p>
    <w:p>
      <w:pPr>
        <w:pStyle w:val="2"/>
        <w:ind w:left="0" w:leftChars="0" w:firstLine="640" w:firstLineChars="200"/>
        <w:rPr>
          <w:rFonts w:hint="eastAsia" w:ascii="仿宋" w:hAnsi="仿宋" w:eastAsia="仿宋"/>
          <w:color w:val="000000"/>
          <w:kern w:val="0"/>
          <w:sz w:val="32"/>
          <w:szCs w:val="32"/>
          <w:lang w:eastAsia="zh-CN"/>
        </w:rPr>
      </w:pPr>
    </w:p>
    <w:p>
      <w:pPr>
        <w:pStyle w:val="2"/>
        <w:ind w:left="0" w:leftChars="0"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全年全区</w:t>
      </w:r>
      <w:r>
        <w:rPr>
          <w:rFonts w:hint="eastAsia" w:ascii="仿宋" w:hAnsi="仿宋" w:eastAsia="仿宋"/>
          <w:color w:val="000000"/>
          <w:kern w:val="0"/>
          <w:sz w:val="32"/>
          <w:szCs w:val="32"/>
        </w:rPr>
        <w:t>居民人均消费支出</w:t>
      </w:r>
      <w:r>
        <w:rPr>
          <w:rFonts w:hint="eastAsia" w:ascii="仿宋" w:hAnsi="仿宋" w:eastAsia="仿宋"/>
          <w:color w:val="000000"/>
          <w:kern w:val="0"/>
          <w:sz w:val="32"/>
          <w:szCs w:val="32"/>
          <w:lang w:val="en-US" w:eastAsia="zh-CN"/>
        </w:rPr>
        <w:t>20136</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_GB2312" w:hAnsi="宋体" w:eastAsia="仿宋_GB2312"/>
          <w:bCs/>
          <w:color w:val="000000"/>
          <w:kern w:val="0"/>
          <w:sz w:val="32"/>
          <w:szCs w:val="32"/>
          <w:shd w:val="clear" w:color="auto" w:fill="FFFFFF"/>
          <w:lang w:val="en-US" w:eastAsia="zh-CN"/>
        </w:rPr>
        <w:t>11.8</w:t>
      </w:r>
      <w:r>
        <w:rPr>
          <w:rFonts w:hint="eastAsia" w:ascii="仿宋_GB2312" w:hAnsi="宋体" w:eastAsia="仿宋_GB2312"/>
          <w:bCs/>
          <w:color w:val="000000"/>
          <w:kern w:val="0"/>
          <w:sz w:val="32"/>
          <w:szCs w:val="32"/>
          <w:shd w:val="clear" w:color="auto" w:fill="FFFFFF"/>
        </w:rPr>
        <w:t>%；</w:t>
      </w:r>
      <w:r>
        <w:rPr>
          <w:rFonts w:hint="eastAsia" w:ascii="仿宋" w:hAnsi="仿宋" w:eastAsia="仿宋"/>
          <w:color w:val="000000"/>
          <w:kern w:val="0"/>
          <w:sz w:val="32"/>
          <w:szCs w:val="32"/>
          <w:lang w:eastAsia="zh-CN"/>
        </w:rPr>
        <w:t>按常住地分，</w:t>
      </w:r>
      <w:r>
        <w:rPr>
          <w:rFonts w:hint="eastAsia" w:ascii="仿宋" w:hAnsi="仿宋" w:eastAsia="仿宋"/>
          <w:color w:val="000000"/>
          <w:kern w:val="0"/>
          <w:sz w:val="32"/>
          <w:szCs w:val="32"/>
        </w:rPr>
        <w:t>城镇居民人均消费支出</w:t>
      </w:r>
      <w:r>
        <w:rPr>
          <w:rFonts w:hint="eastAsia" w:ascii="仿宋" w:hAnsi="仿宋" w:eastAsia="仿宋"/>
          <w:color w:val="000000"/>
          <w:kern w:val="0"/>
          <w:sz w:val="32"/>
          <w:szCs w:val="32"/>
          <w:lang w:val="en-US" w:eastAsia="zh-CN"/>
        </w:rPr>
        <w:t>22021</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w:t>
      </w:r>
      <w:r>
        <w:rPr>
          <w:rFonts w:hint="eastAsia" w:ascii="仿宋_GB2312" w:hAnsi="宋体" w:eastAsia="仿宋_GB2312"/>
          <w:bCs/>
          <w:color w:val="000000"/>
          <w:kern w:val="0"/>
          <w:sz w:val="32"/>
          <w:szCs w:val="32"/>
          <w:shd w:val="clear" w:color="auto" w:fill="FFFFFF"/>
          <w:lang w:eastAsia="zh-CN"/>
        </w:rPr>
        <w:t>增长</w:t>
      </w:r>
      <w:r>
        <w:rPr>
          <w:rFonts w:hint="eastAsia" w:ascii="仿宋_GB2312" w:hAnsi="宋体" w:eastAsia="仿宋_GB2312"/>
          <w:bCs/>
          <w:color w:val="000000"/>
          <w:kern w:val="0"/>
          <w:sz w:val="32"/>
          <w:szCs w:val="32"/>
          <w:shd w:val="clear" w:color="auto" w:fill="FFFFFF"/>
          <w:lang w:val="en-US" w:eastAsia="zh-CN"/>
        </w:rPr>
        <w:t>10</w:t>
      </w:r>
      <w:r>
        <w:rPr>
          <w:rFonts w:hint="eastAsia" w:ascii="仿宋_GB2312" w:hAnsi="宋体" w:eastAsia="仿宋_GB2312"/>
          <w:bCs/>
          <w:color w:val="000000"/>
          <w:kern w:val="0"/>
          <w:sz w:val="32"/>
          <w:szCs w:val="32"/>
          <w:shd w:val="clear" w:color="auto" w:fill="FFFFFF"/>
        </w:rPr>
        <w:t>%；</w:t>
      </w:r>
      <w:r>
        <w:rPr>
          <w:rFonts w:hint="eastAsia" w:ascii="仿宋" w:hAnsi="仿宋" w:eastAsia="仿宋"/>
          <w:color w:val="000000"/>
          <w:kern w:val="0"/>
          <w:sz w:val="32"/>
          <w:szCs w:val="32"/>
        </w:rPr>
        <w:t>农村居民人均消费支出</w:t>
      </w:r>
      <w:r>
        <w:rPr>
          <w:rFonts w:hint="eastAsia" w:ascii="仿宋" w:hAnsi="仿宋" w:eastAsia="仿宋"/>
          <w:color w:val="000000"/>
          <w:kern w:val="0"/>
          <w:sz w:val="32"/>
          <w:szCs w:val="32"/>
          <w:lang w:val="en-US" w:eastAsia="zh-CN"/>
        </w:rPr>
        <w:t>16843</w:t>
      </w:r>
      <w:r>
        <w:rPr>
          <w:rFonts w:hint="eastAsia" w:ascii="仿宋" w:hAnsi="仿宋" w:eastAsia="仿宋"/>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_GB2312" w:hAnsi="宋体" w:eastAsia="仿宋_GB2312"/>
          <w:bCs/>
          <w:color w:val="000000"/>
          <w:kern w:val="0"/>
          <w:sz w:val="32"/>
          <w:szCs w:val="32"/>
          <w:shd w:val="clear" w:color="auto" w:fill="FFFFFF"/>
          <w:lang w:val="en-US" w:eastAsia="zh-CN"/>
        </w:rPr>
        <w:t>12.7</w:t>
      </w:r>
      <w:r>
        <w:rPr>
          <w:rFonts w:hint="eastAsia" w:ascii="仿宋_GB2312" w:hAnsi="宋体" w:eastAsia="仿宋_GB2312"/>
          <w:bCs/>
          <w:color w:val="000000"/>
          <w:kern w:val="0"/>
          <w:sz w:val="32"/>
          <w:szCs w:val="32"/>
          <w:shd w:val="clear" w:color="auto" w:fill="FFFFFF"/>
        </w:rPr>
        <w:t>%</w:t>
      </w:r>
      <w:r>
        <w:rPr>
          <w:rFonts w:hint="eastAsia" w:ascii="仿宋_GB2312" w:hAnsi="宋体" w:eastAsia="仿宋_GB2312"/>
          <w:bCs/>
          <w:color w:val="000000"/>
          <w:kern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lang w:eastAsia="zh-CN"/>
        </w:rPr>
        <w:t>全年全区</w:t>
      </w:r>
      <w:r>
        <w:rPr>
          <w:rFonts w:hint="eastAsia" w:ascii="仿宋" w:hAnsi="仿宋" w:eastAsia="仿宋" w:cs="仿宋"/>
          <w:color w:val="000000" w:themeColor="text1"/>
          <w:sz w:val="32"/>
          <w:szCs w:val="32"/>
          <w:shd w:val="clear" w:color="auto" w:fill="FFFFFF"/>
        </w:rPr>
        <w:t>参加基本医疗保险人数8</w:t>
      </w:r>
      <w:r>
        <w:rPr>
          <w:rFonts w:hint="eastAsia" w:ascii="仿宋" w:hAnsi="仿宋" w:eastAsia="仿宋" w:cs="仿宋"/>
          <w:color w:val="000000" w:themeColor="text1"/>
          <w:sz w:val="32"/>
          <w:szCs w:val="32"/>
          <w:shd w:val="clear" w:color="auto" w:fill="FFFFFF"/>
          <w:lang w:val="en-US" w:eastAsia="zh-CN"/>
        </w:rPr>
        <w:t>5217</w:t>
      </w:r>
      <w:r>
        <w:rPr>
          <w:rFonts w:hint="eastAsia" w:ascii="仿宋" w:hAnsi="仿宋" w:eastAsia="仿宋" w:cs="仿宋"/>
          <w:color w:val="000000" w:themeColor="text1"/>
          <w:sz w:val="32"/>
          <w:szCs w:val="32"/>
          <w:shd w:val="clear" w:color="auto" w:fill="FFFFFF"/>
        </w:rPr>
        <w:t>人，其中居民医保医疗保险7</w:t>
      </w:r>
      <w:r>
        <w:rPr>
          <w:rFonts w:hint="eastAsia" w:ascii="仿宋" w:hAnsi="仿宋" w:eastAsia="仿宋" w:cs="仿宋"/>
          <w:color w:val="000000" w:themeColor="text1"/>
          <w:sz w:val="32"/>
          <w:szCs w:val="32"/>
          <w:shd w:val="clear" w:color="auto" w:fill="FFFFFF"/>
          <w:lang w:val="en-US" w:eastAsia="zh-CN"/>
        </w:rPr>
        <w:t>1275</w:t>
      </w:r>
      <w:r>
        <w:rPr>
          <w:rFonts w:hint="eastAsia" w:ascii="仿宋" w:hAnsi="仿宋" w:eastAsia="仿宋" w:cs="仿宋"/>
          <w:color w:val="000000" w:themeColor="text1"/>
          <w:sz w:val="32"/>
          <w:szCs w:val="32"/>
          <w:shd w:val="clear" w:color="auto" w:fill="FFFFFF"/>
        </w:rPr>
        <w:t>人，职工医疗保险13942人（在职11724人，退休2218人）。</w:t>
      </w:r>
      <w:r>
        <w:rPr>
          <w:rFonts w:hint="eastAsia" w:ascii="仿宋" w:hAnsi="仿宋" w:eastAsia="仿宋" w:cs="仿宋"/>
          <w:color w:val="000000" w:themeColor="text1"/>
          <w:sz w:val="32"/>
          <w:szCs w:val="32"/>
          <w:shd w:val="clear" w:color="auto" w:fill="FFFFFF"/>
          <w:lang w:eastAsia="zh-CN"/>
        </w:rPr>
        <w:t>年</w:t>
      </w:r>
      <w:r>
        <w:rPr>
          <w:rFonts w:hint="eastAsia" w:ascii="仿宋" w:hAnsi="仿宋" w:eastAsia="仿宋" w:cs="仿宋"/>
          <w:color w:val="000000" w:themeColor="text1"/>
          <w:sz w:val="32"/>
          <w:szCs w:val="32"/>
        </w:rPr>
        <w:t>末</w:t>
      </w:r>
      <w:r>
        <w:rPr>
          <w:rFonts w:hint="eastAsia" w:ascii="仿宋" w:hAnsi="仿宋" w:eastAsia="仿宋" w:cs="仿宋"/>
          <w:color w:val="000000" w:themeColor="text1"/>
          <w:sz w:val="32"/>
          <w:szCs w:val="32"/>
          <w:lang w:eastAsia="zh-CN"/>
        </w:rPr>
        <w:t>参加城乡居民</w:t>
      </w:r>
      <w:r>
        <w:rPr>
          <w:rFonts w:hint="eastAsia" w:ascii="仿宋" w:hAnsi="仿宋" w:eastAsia="仿宋" w:cs="仿宋"/>
          <w:color w:val="000000" w:themeColor="text1"/>
          <w:sz w:val="32"/>
          <w:szCs w:val="32"/>
        </w:rPr>
        <w:t>基本养老保险人数</w:t>
      </w:r>
      <w:r>
        <w:rPr>
          <w:rFonts w:hint="eastAsia" w:ascii="仿宋" w:hAnsi="仿宋" w:eastAsia="仿宋" w:cs="仿宋"/>
          <w:color w:val="000000" w:themeColor="text1"/>
          <w:sz w:val="32"/>
          <w:szCs w:val="32"/>
          <w:lang w:val="en-US" w:eastAsia="zh-CN"/>
        </w:rPr>
        <w:t>32140</w:t>
      </w:r>
      <w:r>
        <w:rPr>
          <w:rFonts w:hint="eastAsia" w:ascii="仿宋" w:hAnsi="仿宋" w:eastAsia="仿宋" w:cs="仿宋"/>
          <w:color w:val="000000" w:themeColor="text1"/>
          <w:sz w:val="32"/>
          <w:szCs w:val="32"/>
        </w:rPr>
        <w:t>人</w:t>
      </w:r>
      <w:r>
        <w:rPr>
          <w:rFonts w:hint="eastAsia" w:ascii="仿宋" w:hAnsi="仿宋" w:eastAsia="仿宋" w:cs="仿宋"/>
          <w:color w:val="000000" w:themeColor="text1"/>
          <w:sz w:val="32"/>
          <w:szCs w:val="32"/>
          <w:lang w:eastAsia="zh-CN"/>
        </w:rPr>
        <w:t>。参加失业保险人数</w:t>
      </w:r>
      <w:r>
        <w:rPr>
          <w:rFonts w:hint="eastAsia" w:ascii="仿宋" w:hAnsi="仿宋" w:eastAsia="仿宋" w:cs="仿宋"/>
          <w:color w:val="000000" w:themeColor="text1"/>
          <w:sz w:val="32"/>
          <w:szCs w:val="32"/>
          <w:lang w:val="en-US" w:eastAsia="zh-CN"/>
        </w:rPr>
        <w:t>9680人，比上年末增加1990人。年末领取失业保险金人数109人。参加工伤保险人数13016人，比上年末增加1733人。</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全年全区</w:t>
      </w:r>
      <w:r>
        <w:rPr>
          <w:rFonts w:hint="eastAsia" w:ascii="仿宋" w:hAnsi="仿宋" w:eastAsia="仿宋" w:cs="仿宋"/>
          <w:color w:val="000000" w:themeColor="text1"/>
          <w:sz w:val="32"/>
          <w:szCs w:val="32"/>
        </w:rPr>
        <w:t>城区最低生活保障月标准600元，农村最低生活保障年标准377元。全年共救助城区最低生活保障对象30064人次，发放城区最低生活保障金922.45万元。全年共救助农村最低生活保障对象13176人次，发放农村最低生活保障金247.5万元。全年共救助城乡特困人员76人，发放特困救助供养金57万元，全年共临时救助困难群众65人，发放临时救助金9.3万元，人均救助1430.77元。社区服务中心1个。接受社会各界捐款捐物11160313.24元。（其中：接受市慈善总会拨付防汛救灾慈善捐赠资金1075万元.99公益日公众筹款：408313.24元.防汛救灾社会捐赠2000元）</w:t>
      </w:r>
      <w:r>
        <w:rPr>
          <w:rFonts w:hint="eastAsia" w:ascii="仿宋" w:hAnsi="仿宋" w:eastAsia="仿宋" w:cs="仿宋"/>
          <w:color w:val="000000" w:themeColor="text1"/>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color w:val="000000" w:themeColor="text1"/>
          <w:sz w:val="32"/>
          <w:szCs w:val="32"/>
          <w:lang w:eastAsia="zh-CN"/>
        </w:rPr>
      </w:pPr>
      <w:r>
        <w:rPr>
          <w:rFonts w:hint="eastAsia" w:ascii="仿宋" w:hAnsi="仿宋" w:eastAsia="仿宋" w:cs="仿宋"/>
          <w:color w:val="000000" w:themeColor="text1"/>
          <w:sz w:val="32"/>
          <w:szCs w:val="32"/>
        </w:rPr>
        <w:t>全年共办理结婚登记509对，离婚登记176对，补领结婚登记证234对，补领离婚登记证30对，出具未婚证明0人次。</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lang w:eastAsia="zh-CN"/>
        </w:rPr>
        <w:t>十、</w:t>
      </w:r>
      <w:r>
        <w:rPr>
          <w:rFonts w:hint="eastAsia" w:ascii="仿宋" w:hAnsi="仿宋" w:eastAsia="仿宋" w:cs="仿宋"/>
          <w:b/>
          <w:color w:val="000000" w:themeColor="text1"/>
          <w:sz w:val="32"/>
          <w:szCs w:val="32"/>
        </w:rPr>
        <w:t>科学技术和教育</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Times New Roman"/>
          <w:color w:val="000000" w:themeColor="text1"/>
          <w:sz w:val="32"/>
          <w:szCs w:val="32"/>
          <w:lang w:val="en-US" w:eastAsia="zh-CN"/>
        </w:rPr>
      </w:pPr>
      <w:r>
        <w:rPr>
          <w:rFonts w:hint="eastAsia" w:ascii="仿宋" w:hAnsi="仿宋" w:eastAsia="仿宋" w:cs="仿宋"/>
          <w:color w:val="000000" w:themeColor="text1"/>
          <w:sz w:val="32"/>
          <w:szCs w:val="32"/>
          <w:lang w:eastAsia="zh-CN"/>
        </w:rPr>
        <w:t>全年全区</w:t>
      </w:r>
      <w:r>
        <w:rPr>
          <w:rFonts w:hint="eastAsia" w:ascii="仿宋" w:hAnsi="仿宋" w:eastAsia="仿宋" w:cs="仿宋"/>
          <w:color w:val="000000" w:themeColor="text1"/>
          <w:sz w:val="32"/>
          <w:szCs w:val="32"/>
        </w:rPr>
        <w:t>新认定国家高新技术企业13家，同比新增7家，总数达到24家；备案入库国家科技型中小企业26家。拥有河南省节能减排科技创新示范企业2家</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河南省院士工作站2个</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河南省工程技术研究中心20家。全年共取得河南省科学技术奖1项。完成技术合同登记额1.08亿元，同比</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90.9</w:t>
      </w:r>
      <w:r>
        <w:rPr>
          <w:rFonts w:hint="eastAsia" w:ascii="仿宋" w:hAnsi="仿宋" w:eastAsia="仿宋" w:cs="仿宋"/>
          <w:color w:val="000000" w:themeColor="text1"/>
          <w:sz w:val="32"/>
          <w:szCs w:val="32"/>
        </w:rPr>
        <w:t>%。全年共获省级以上各类财政科技支持经费345万元。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Times New Roman"/>
          <w:color w:val="FF0000"/>
          <w:sz w:val="32"/>
          <w:szCs w:val="32"/>
          <w:lang w:val="en-US" w:eastAsia="zh-CN"/>
        </w:rPr>
      </w:pPr>
      <w:r>
        <w:rPr>
          <w:rFonts w:hint="eastAsia" w:ascii="仿宋" w:hAnsi="仿宋" w:eastAsia="仿宋" w:cs="Times New Roman"/>
          <w:color w:val="000000" w:themeColor="text1"/>
          <w:sz w:val="32"/>
          <w:szCs w:val="32"/>
          <w:lang w:val="en-US" w:eastAsia="zh-CN"/>
        </w:rPr>
        <w:t>全区普通高中1所，在校生2510人，毕业生954人。义务教育阶段现有中小学校17所，其中初中2所，九年制学校5所（含民办1所），小学10所。初中招生1886人，在校生5483人，毕业生1485人。小学招生1304人，在校生7972人，毕业生1360人。</w:t>
      </w:r>
      <w:r>
        <w:rPr>
          <w:rFonts w:hint="eastAsia" w:ascii="仿宋" w:hAnsi="仿宋" w:eastAsia="仿宋" w:cs="宋体"/>
          <w:color w:val="000000" w:themeColor="text1"/>
          <w:kern w:val="0"/>
          <w:sz w:val="32"/>
          <w:szCs w:val="32"/>
        </w:rPr>
        <w:t>全区幼儿园共计26所，在园幼儿4633人，其中公办幼儿园8所，在园幼儿1210人；民办幼儿园18所，在园幼儿3423人。202</w:t>
      </w:r>
      <w:r>
        <w:rPr>
          <w:rFonts w:hint="eastAsia" w:ascii="仿宋" w:hAnsi="仿宋" w:eastAsia="仿宋" w:cs="宋体"/>
          <w:color w:val="000000" w:themeColor="text1"/>
          <w:kern w:val="0"/>
          <w:sz w:val="32"/>
          <w:szCs w:val="32"/>
          <w:lang w:val="en-US" w:eastAsia="zh-CN"/>
        </w:rPr>
        <w:t>1</w:t>
      </w:r>
      <w:r>
        <w:rPr>
          <w:rFonts w:hint="eastAsia" w:ascii="仿宋" w:hAnsi="仿宋" w:eastAsia="仿宋" w:cs="宋体"/>
          <w:color w:val="000000" w:themeColor="text1"/>
          <w:kern w:val="0"/>
          <w:sz w:val="32"/>
          <w:szCs w:val="32"/>
        </w:rPr>
        <w:t>年资助</w:t>
      </w:r>
      <w:r>
        <w:rPr>
          <w:rFonts w:hint="eastAsia" w:ascii="仿宋" w:hAnsi="仿宋" w:eastAsia="仿宋" w:cs="宋体"/>
          <w:color w:val="000000" w:themeColor="text1"/>
          <w:kern w:val="0"/>
          <w:sz w:val="32"/>
          <w:szCs w:val="32"/>
          <w:lang w:val="en-US" w:eastAsia="zh-CN"/>
        </w:rPr>
        <w:t>学生</w:t>
      </w:r>
      <w:r>
        <w:rPr>
          <w:rFonts w:hint="eastAsia" w:ascii="仿宋" w:hAnsi="仿宋" w:eastAsia="仿宋" w:cs="宋体"/>
          <w:color w:val="000000" w:themeColor="text1"/>
          <w:kern w:val="0"/>
          <w:sz w:val="32"/>
          <w:szCs w:val="32"/>
          <w:lang w:eastAsia="zh-CN"/>
        </w:rPr>
        <w:t>2324</w:t>
      </w:r>
      <w:r>
        <w:rPr>
          <w:rFonts w:hint="eastAsia" w:ascii="仿宋" w:hAnsi="仿宋" w:eastAsia="仿宋" w:cs="宋体"/>
          <w:color w:val="000000" w:themeColor="text1"/>
          <w:kern w:val="0"/>
          <w:sz w:val="32"/>
          <w:szCs w:val="32"/>
        </w:rPr>
        <w:t>人次，共计</w:t>
      </w:r>
      <w:r>
        <w:rPr>
          <w:rFonts w:hint="eastAsia" w:ascii="仿宋" w:hAnsi="仿宋" w:eastAsia="仿宋" w:cs="宋体"/>
          <w:color w:val="000000" w:themeColor="text1"/>
          <w:kern w:val="0"/>
          <w:sz w:val="32"/>
          <w:szCs w:val="32"/>
          <w:lang w:eastAsia="zh-CN"/>
        </w:rPr>
        <w:t>127.63</w:t>
      </w:r>
      <w:r>
        <w:rPr>
          <w:rFonts w:hint="eastAsia" w:ascii="仿宋" w:hAnsi="仿宋" w:eastAsia="仿宋" w:cs="宋体"/>
          <w:color w:val="000000" w:themeColor="text1"/>
          <w:kern w:val="0"/>
          <w:sz w:val="32"/>
          <w:szCs w:val="32"/>
        </w:rPr>
        <w:t>万元</w:t>
      </w:r>
      <w:r>
        <w:rPr>
          <w:rFonts w:hint="eastAsia" w:ascii="仿宋" w:hAnsi="仿宋" w:eastAsia="仿宋" w:cs="宋体"/>
          <w:color w:val="000000" w:themeColor="text1"/>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rPr>
      </w:pPr>
      <w:r>
        <w:rPr>
          <w:rFonts w:hint="eastAsia" w:ascii="仿宋" w:hAnsi="仿宋" w:eastAsia="仿宋" w:cs="仿宋"/>
          <w:b/>
          <w:bCs w:val="0"/>
          <w:color w:val="000000" w:themeColor="text1"/>
          <w:kern w:val="0"/>
          <w:sz w:val="28"/>
          <w:szCs w:val="28"/>
          <w:shd w:val="clear" w:color="auto" w:fill="FFFFFF"/>
          <w:lang w:val="en-US" w:eastAsia="zh-CN"/>
        </w:rPr>
        <w:t>表3：2021年全区各类学校招生和在校生情况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000000" w:themeColor="text1"/>
          <w:kern w:val="0"/>
          <w:sz w:val="28"/>
          <w:szCs w:val="28"/>
        </w:rPr>
      </w:pPr>
      <w:r>
        <w:rPr>
          <w:rFonts w:hint="eastAsia" w:ascii="仿宋" w:hAnsi="仿宋" w:eastAsia="仿宋" w:cs="宋体"/>
          <w:color w:val="000000" w:themeColor="text1"/>
          <w:kern w:val="0"/>
          <w:sz w:val="32"/>
          <w:szCs w:val="32"/>
        </w:rPr>
        <w:t xml:space="preserve">                                     </w:t>
      </w:r>
      <w:r>
        <w:rPr>
          <w:rFonts w:hint="eastAsia" w:ascii="仿宋" w:hAnsi="仿宋" w:eastAsia="仿宋" w:cs="宋体"/>
          <w:color w:val="000000" w:themeColor="text1"/>
          <w:kern w:val="0"/>
          <w:sz w:val="28"/>
          <w:szCs w:val="28"/>
        </w:rPr>
        <w:t xml:space="preserve">  单位：人</w:t>
      </w:r>
    </w:p>
    <w:tbl>
      <w:tblPr>
        <w:tblStyle w:val="7"/>
        <w:tblW w:w="8386" w:type="dxa"/>
        <w:tblInd w:w="136" w:type="dxa"/>
        <w:tblLayout w:type="fixed"/>
        <w:tblCellMar>
          <w:top w:w="0" w:type="dxa"/>
          <w:left w:w="108" w:type="dxa"/>
          <w:bottom w:w="0" w:type="dxa"/>
          <w:right w:w="108" w:type="dxa"/>
        </w:tblCellMar>
      </w:tblPr>
      <w:tblGrid>
        <w:gridCol w:w="2312"/>
        <w:gridCol w:w="1812"/>
        <w:gridCol w:w="2131"/>
        <w:gridCol w:w="2131"/>
      </w:tblGrid>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指  标</w:t>
            </w:r>
          </w:p>
        </w:tc>
        <w:tc>
          <w:tcPr>
            <w:tcW w:w="181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招生数</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140" w:firstLineChars="50"/>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在校生数</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毕业生数</w:t>
            </w:r>
          </w:p>
        </w:tc>
      </w:tr>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普通高中</w:t>
            </w:r>
          </w:p>
        </w:tc>
        <w:tc>
          <w:tcPr>
            <w:tcW w:w="181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986</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2510</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954</w:t>
            </w:r>
          </w:p>
        </w:tc>
      </w:tr>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初中学校</w:t>
            </w:r>
          </w:p>
        </w:tc>
        <w:tc>
          <w:tcPr>
            <w:tcW w:w="181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1886</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5483</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1458</w:t>
            </w:r>
          </w:p>
        </w:tc>
      </w:tr>
      <w:tr>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普通小学</w:t>
            </w:r>
          </w:p>
        </w:tc>
        <w:tc>
          <w:tcPr>
            <w:tcW w:w="181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1304</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7972</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rPr>
                <w:rFonts w:hint="default"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1360</w:t>
            </w:r>
          </w:p>
        </w:tc>
      </w:tr>
    </w:tbl>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lang w:eastAsia="zh-CN"/>
        </w:rPr>
        <w:t>十一</w:t>
      </w:r>
      <w:r>
        <w:rPr>
          <w:rFonts w:hint="eastAsia" w:ascii="仿宋" w:hAnsi="仿宋" w:eastAsia="仿宋" w:cs="仿宋"/>
          <w:b/>
          <w:color w:val="000000" w:themeColor="text1"/>
          <w:sz w:val="32"/>
          <w:szCs w:val="32"/>
        </w:rPr>
        <w:t>、文化、卫生和体育</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t>全年</w:t>
      </w:r>
      <w:r>
        <w:rPr>
          <w:rFonts w:hint="eastAsia" w:ascii="仿宋" w:hAnsi="仿宋" w:eastAsia="仿宋"/>
          <w:color w:val="000000" w:themeColor="text1"/>
          <w:sz w:val="32"/>
          <w:szCs w:val="32"/>
        </w:rPr>
        <w:t>全区共有各类艺术表演团体</w:t>
      </w:r>
      <w:r>
        <w:rPr>
          <w:rFonts w:hint="eastAsia" w:ascii="仿宋" w:hAnsi="仿宋" w:eastAsia="仿宋"/>
          <w:color w:val="000000" w:themeColor="text1"/>
          <w:sz w:val="32"/>
          <w:szCs w:val="32"/>
          <w:lang w:val="en-US" w:eastAsia="zh-CN"/>
        </w:rPr>
        <w:t>60</w:t>
      </w:r>
      <w:r>
        <w:rPr>
          <w:rFonts w:hint="eastAsia" w:ascii="仿宋" w:hAnsi="仿宋" w:eastAsia="仿宋"/>
          <w:color w:val="000000" w:themeColor="text1"/>
          <w:sz w:val="32"/>
          <w:szCs w:val="32"/>
        </w:rPr>
        <w:t>个，文化馆</w:t>
      </w: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t>个，街道文化站</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个，农家文化书屋</w:t>
      </w:r>
      <w:r>
        <w:rPr>
          <w:rFonts w:hint="eastAsia" w:ascii="仿宋" w:hAnsi="仿宋" w:eastAsia="仿宋"/>
          <w:color w:val="000000" w:themeColor="text1"/>
          <w:sz w:val="32"/>
          <w:szCs w:val="32"/>
          <w:lang w:val="en-US" w:eastAsia="zh-CN"/>
        </w:rPr>
        <w:t>56</w:t>
      </w:r>
      <w:r>
        <w:rPr>
          <w:rFonts w:hint="eastAsia" w:ascii="仿宋" w:hAnsi="仿宋" w:eastAsia="仿宋"/>
          <w:color w:val="000000" w:themeColor="text1"/>
          <w:sz w:val="32"/>
          <w:szCs w:val="32"/>
        </w:rPr>
        <w:t>个，全国重点文物保护单位</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处（府城遗址、许衡墓），省级重点文物保护单位</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处（</w:t>
      </w:r>
      <w:r>
        <w:rPr>
          <w:rFonts w:hint="eastAsia" w:ascii="仿宋" w:hAnsi="仿宋" w:eastAsia="仿宋"/>
          <w:color w:val="000000" w:themeColor="text1"/>
          <w:sz w:val="32"/>
          <w:szCs w:val="32"/>
          <w:lang w:eastAsia="zh-CN"/>
        </w:rPr>
        <w:t>比如：</w:t>
      </w:r>
      <w:r>
        <w:rPr>
          <w:rFonts w:hint="eastAsia" w:ascii="仿宋" w:hAnsi="仿宋" w:eastAsia="仿宋"/>
          <w:color w:val="000000" w:themeColor="text1"/>
          <w:sz w:val="32"/>
          <w:szCs w:val="32"/>
        </w:rPr>
        <w:t>靳德</w:t>
      </w:r>
      <w:r>
        <w:rPr>
          <w:rFonts w:hint="eastAsia" w:ascii="仿宋" w:hAnsi="仿宋" w:eastAsia="仿宋"/>
          <w:color w:val="000000" w:themeColor="text1"/>
          <w:kern w:val="0"/>
          <w:sz w:val="32"/>
          <w:szCs w:val="32"/>
        </w:rPr>
        <w:t>茂墓、北朱村古民居、张昺墓</w:t>
      </w:r>
      <w:r>
        <w:rPr>
          <w:rFonts w:hint="eastAsia" w:ascii="仿宋" w:hAnsi="仿宋" w:eastAsia="仿宋"/>
          <w:color w:val="000000" w:themeColor="text1"/>
          <w:kern w:val="0"/>
          <w:sz w:val="32"/>
          <w:szCs w:val="32"/>
          <w:lang w:val="en-US" w:eastAsia="zh-CN"/>
        </w:rPr>
        <w:t>及祠</w:t>
      </w:r>
      <w:r>
        <w:rPr>
          <w:rFonts w:hint="eastAsia" w:ascii="仿宋" w:hAnsi="仿宋" w:eastAsia="仿宋"/>
          <w:color w:val="000000" w:themeColor="text1"/>
          <w:kern w:val="0"/>
          <w:sz w:val="32"/>
          <w:szCs w:val="32"/>
        </w:rPr>
        <w:t>、府城王氏祠堂、太行区第四专区及焦作市党政军机关旧址</w:t>
      </w:r>
      <w:r>
        <w:rPr>
          <w:rFonts w:hint="eastAsia" w:ascii="仿宋" w:hAnsi="仿宋" w:eastAsia="仿宋"/>
          <w:color w:val="000000" w:themeColor="text1"/>
          <w:sz w:val="32"/>
          <w:szCs w:val="32"/>
        </w:rPr>
        <w:t>），市级重点文物保护单位3</w:t>
      </w:r>
      <w:r>
        <w:rPr>
          <w:rFonts w:hint="eastAsia" w:ascii="仿宋" w:hAnsi="仿宋" w:eastAsia="仿宋"/>
          <w:color w:val="000000" w:themeColor="text1"/>
          <w:sz w:val="32"/>
          <w:szCs w:val="32"/>
          <w:lang w:val="en-US" w:eastAsia="zh-CN"/>
        </w:rPr>
        <w:t>8</w:t>
      </w:r>
      <w:r>
        <w:rPr>
          <w:rFonts w:hint="eastAsia" w:ascii="仿宋" w:hAnsi="仿宋" w:eastAsia="仿宋"/>
          <w:color w:val="000000" w:themeColor="text1"/>
          <w:sz w:val="32"/>
          <w:szCs w:val="32"/>
        </w:rPr>
        <w:t>处。国家级非物质文化遗产项目</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项（小尚虎舞、常家武虎），省级非物质文化遗产保护项目</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项（小尚炮</w:t>
      </w:r>
      <w:r>
        <w:rPr>
          <w:rFonts w:hint="eastAsia" w:ascii="仿宋" w:hAnsi="仿宋" w:eastAsia="仿宋"/>
          <w:color w:val="000000" w:themeColor="text1"/>
          <w:sz w:val="32"/>
          <w:szCs w:val="32"/>
          <w:lang w:val="en-US" w:eastAsia="zh-CN"/>
        </w:rPr>
        <w:t>拳（</w:t>
      </w:r>
      <w:r>
        <w:rPr>
          <w:rFonts w:hint="eastAsia" w:ascii="仿宋" w:hAnsi="仿宋" w:eastAsia="仿宋"/>
          <w:color w:val="000000" w:themeColor="text1"/>
          <w:sz w:val="32"/>
          <w:szCs w:val="32"/>
        </w:rPr>
        <w:t>捶</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白猿通背拳</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造店查拳</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东冯封文武高跷、</w:t>
      </w:r>
      <w:r>
        <w:rPr>
          <w:rFonts w:hint="eastAsia" w:ascii="仿宋" w:hAnsi="仿宋" w:eastAsia="仿宋"/>
          <w:color w:val="000000" w:themeColor="text1"/>
          <w:sz w:val="32"/>
          <w:szCs w:val="32"/>
          <w:lang w:val="en-US" w:eastAsia="zh-CN"/>
        </w:rPr>
        <w:t>李封</w:t>
      </w:r>
      <w:r>
        <w:rPr>
          <w:rFonts w:hint="eastAsia" w:ascii="仿宋" w:hAnsi="仿宋" w:eastAsia="仿宋"/>
          <w:color w:val="000000" w:themeColor="text1"/>
          <w:sz w:val="32"/>
          <w:szCs w:val="32"/>
        </w:rPr>
        <w:t>天目瓷烧制技艺</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市级非物质文化遗产保护项目</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项（北朱村舞蹈腰鼓、北朱村背桩、北朱村红拳、</w:t>
      </w:r>
      <w:r>
        <w:rPr>
          <w:rFonts w:hint="eastAsia" w:ascii="仿宋" w:hAnsi="仿宋" w:eastAsia="仿宋"/>
          <w:color w:val="000000" w:themeColor="text1"/>
          <w:sz w:val="32"/>
          <w:szCs w:val="32"/>
          <w:lang w:val="en-US" w:eastAsia="zh-CN"/>
        </w:rPr>
        <w:t>何氏糖画、封氏捏塑</w:t>
      </w:r>
      <w:r>
        <w:rPr>
          <w:rFonts w:hint="eastAsia" w:ascii="仿宋" w:hAnsi="仿宋" w:eastAsia="仿宋"/>
          <w:color w:val="000000" w:themeColor="text1"/>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theme="minorBidi"/>
          <w:color w:val="000000" w:themeColor="text1"/>
          <w:kern w:val="2"/>
          <w:sz w:val="32"/>
          <w:szCs w:val="32"/>
          <w:lang w:val="en-US" w:eastAsia="zh-CN" w:bidi="ar-SA"/>
        </w:rPr>
      </w:pPr>
      <w:r>
        <w:rPr>
          <w:rFonts w:hint="eastAsia" w:ascii="仿宋" w:hAnsi="仿宋" w:eastAsia="仿宋"/>
          <w:color w:val="000000" w:themeColor="text1"/>
          <w:sz w:val="32"/>
          <w:szCs w:val="32"/>
          <w:lang w:eastAsia="zh-CN"/>
        </w:rPr>
        <w:t>全年</w:t>
      </w:r>
      <w:r>
        <w:rPr>
          <w:rFonts w:hint="eastAsia" w:ascii="仿宋" w:hAnsi="仿宋" w:eastAsia="仿宋"/>
          <w:color w:val="000000" w:themeColor="text1"/>
          <w:sz w:val="32"/>
          <w:szCs w:val="32"/>
        </w:rPr>
        <w:t>全区共有卫生机构87个，其中：二级医疗机构1家、一级医疗机构5家、妇幼保健站1家、社区卫生服务中心7家、村卫生所34家、各类个体诊所39家。共拥有床位数 740 张，执业医师（含助理）341人，执业护士383人。</w:t>
      </w:r>
    </w:p>
    <w:p>
      <w:pPr>
        <w:pStyle w:val="13"/>
        <w:keepNext w:val="0"/>
        <w:keepLines w:val="0"/>
        <w:pageBreakBefore w:val="0"/>
        <w:kinsoku/>
        <w:wordWrap/>
        <w:overflowPunct/>
        <w:topLinePunct w:val="0"/>
        <w:autoSpaceDE/>
        <w:autoSpaceDN/>
        <w:bidi w:val="0"/>
        <w:adjustRightInd/>
        <w:snapToGrid/>
        <w:spacing w:line="560" w:lineRule="exact"/>
        <w:ind w:firstLine="640"/>
        <w:jc w:val="both"/>
        <w:rPr>
          <w:rFonts w:ascii="仿宋" w:hAnsi="仿宋" w:eastAsia="仿宋" w:cs="仿宋"/>
          <w:color w:val="000000" w:themeColor="text1"/>
          <w:sz w:val="32"/>
          <w:szCs w:val="32"/>
        </w:rPr>
      </w:pPr>
      <w:r>
        <w:rPr>
          <w:rFonts w:hint="eastAsia" w:ascii="仿宋" w:hAnsi="仿宋" w:eastAsia="仿宋"/>
          <w:color w:val="000000" w:themeColor="text1"/>
          <w:sz w:val="32"/>
          <w:szCs w:val="32"/>
        </w:rPr>
        <w:t>全年</w:t>
      </w:r>
      <w:r>
        <w:rPr>
          <w:rFonts w:hint="eastAsia" w:ascii="仿宋" w:hAnsi="仿宋" w:eastAsia="仿宋"/>
          <w:color w:val="000000" w:themeColor="text1"/>
          <w:sz w:val="32"/>
          <w:szCs w:val="32"/>
          <w:lang w:eastAsia="zh-CN"/>
        </w:rPr>
        <w:t>全区</w:t>
      </w:r>
      <w:r>
        <w:rPr>
          <w:rFonts w:hint="eastAsia" w:ascii="仿宋" w:hAnsi="仿宋" w:eastAsia="仿宋"/>
          <w:color w:val="000000" w:themeColor="text1"/>
          <w:sz w:val="32"/>
          <w:szCs w:val="32"/>
        </w:rPr>
        <w:t>共开展经常性群众文体活动</w:t>
      </w:r>
      <w:r>
        <w:rPr>
          <w:rFonts w:hint="eastAsia" w:ascii="仿宋" w:hAnsi="仿宋" w:eastAsia="仿宋"/>
          <w:color w:val="000000" w:themeColor="text1"/>
          <w:sz w:val="32"/>
          <w:szCs w:val="32"/>
          <w:lang w:val="en-US" w:eastAsia="zh-CN"/>
        </w:rPr>
        <w:t>60余场</w:t>
      </w:r>
      <w:r>
        <w:rPr>
          <w:rFonts w:hint="eastAsia" w:ascii="仿宋" w:hAnsi="仿宋" w:eastAsia="仿宋"/>
          <w:color w:val="000000" w:themeColor="text1"/>
          <w:sz w:val="32"/>
          <w:szCs w:val="32"/>
        </w:rPr>
        <w:t>次，举办全区性体育健身活动</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次。全区所有的行政村、社区已实现了体育健身工程的全覆盖，并实施了</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个乡镇体育健身工程。</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default" w:ascii="仿宋" w:hAnsi="仿宋" w:eastAsia="仿宋" w:cs="仿宋"/>
          <w:color w:val="000000" w:themeColor="text1"/>
          <w:sz w:val="32"/>
          <w:szCs w:val="32"/>
          <w:lang w:val="en-US" w:eastAsia="zh-CN"/>
        </w:rPr>
      </w:pPr>
      <w:r>
        <w:rPr>
          <w:rFonts w:hint="eastAsia" w:ascii="仿宋" w:hAnsi="仿宋" w:eastAsia="仿宋" w:cs="仿宋"/>
          <w:b/>
          <w:color w:val="000000" w:themeColor="text1"/>
          <w:sz w:val="32"/>
          <w:szCs w:val="32"/>
        </w:rPr>
        <w:t>十</w:t>
      </w:r>
      <w:r>
        <w:rPr>
          <w:rFonts w:hint="eastAsia" w:ascii="仿宋" w:hAnsi="仿宋" w:eastAsia="仿宋" w:cs="仿宋"/>
          <w:b/>
          <w:color w:val="000000" w:themeColor="text1"/>
          <w:sz w:val="32"/>
          <w:szCs w:val="32"/>
          <w:lang w:val="en-US" w:eastAsia="zh-CN"/>
        </w:rPr>
        <w:t>二</w:t>
      </w:r>
      <w:r>
        <w:rPr>
          <w:rFonts w:hint="eastAsia" w:ascii="仿宋" w:hAnsi="仿宋" w:eastAsia="仿宋" w:cs="仿宋"/>
          <w:b/>
          <w:color w:val="000000" w:themeColor="text1"/>
          <w:sz w:val="32"/>
          <w:szCs w:val="32"/>
        </w:rPr>
        <w:t>、交通</w:t>
      </w:r>
      <w:r>
        <w:rPr>
          <w:rFonts w:hint="eastAsia" w:ascii="仿宋" w:hAnsi="仿宋" w:eastAsia="仿宋" w:cs="仿宋"/>
          <w:b/>
          <w:color w:val="000000" w:themeColor="text1"/>
          <w:sz w:val="32"/>
          <w:szCs w:val="32"/>
          <w:lang w:eastAsia="zh-CN"/>
        </w:rPr>
        <w:t>、</w:t>
      </w:r>
      <w:r>
        <w:rPr>
          <w:rFonts w:hint="eastAsia" w:ascii="仿宋" w:hAnsi="仿宋" w:eastAsia="仿宋" w:cs="仿宋"/>
          <w:b/>
          <w:color w:val="000000" w:themeColor="text1"/>
          <w:sz w:val="32"/>
          <w:szCs w:val="32"/>
          <w:lang w:val="en-US" w:eastAsia="zh-CN"/>
        </w:rPr>
        <w:t>资源、环境和应急管理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lang w:val="en-US" w:eastAsia="zh-CN"/>
        </w:rPr>
        <w:t>全年</w:t>
      </w:r>
      <w:r>
        <w:rPr>
          <w:rFonts w:hint="eastAsia" w:ascii="仿宋" w:hAnsi="仿宋" w:eastAsia="仿宋" w:cs="仿宋"/>
          <w:color w:val="000000" w:themeColor="text1"/>
          <w:kern w:val="0"/>
          <w:sz w:val="32"/>
          <w:szCs w:val="32"/>
        </w:rPr>
        <w:t>末全区公路通车总里程</w:t>
      </w:r>
      <w:r>
        <w:rPr>
          <w:rFonts w:hint="eastAsia" w:ascii="仿宋" w:hAnsi="仿宋" w:eastAsia="仿宋" w:cs="仿宋"/>
          <w:color w:val="000000" w:themeColor="text1"/>
          <w:kern w:val="0"/>
          <w:sz w:val="32"/>
          <w:szCs w:val="32"/>
          <w:lang w:val="en-US" w:eastAsia="zh-CN"/>
        </w:rPr>
        <w:t>180.963</w:t>
      </w:r>
      <w:r>
        <w:rPr>
          <w:rFonts w:hint="eastAsia" w:ascii="仿宋" w:hAnsi="仿宋" w:eastAsia="仿宋" w:cs="仿宋"/>
          <w:color w:val="000000" w:themeColor="text1"/>
          <w:kern w:val="0"/>
          <w:sz w:val="32"/>
          <w:szCs w:val="32"/>
        </w:rPr>
        <w:t>公里，其中干线公路总里程</w:t>
      </w:r>
      <w:r>
        <w:rPr>
          <w:rFonts w:hint="eastAsia" w:ascii="仿宋" w:hAnsi="仿宋" w:eastAsia="仿宋" w:cs="仿宋"/>
          <w:color w:val="000000" w:themeColor="text1"/>
          <w:kern w:val="0"/>
          <w:sz w:val="32"/>
          <w:szCs w:val="32"/>
          <w:lang w:val="en-US" w:eastAsia="zh-CN"/>
        </w:rPr>
        <w:t>45.43</w:t>
      </w:r>
      <w:r>
        <w:rPr>
          <w:rFonts w:hint="eastAsia" w:ascii="仿宋" w:hAnsi="仿宋" w:eastAsia="仿宋" w:cs="仿宋"/>
          <w:color w:val="000000" w:themeColor="text1"/>
          <w:kern w:val="0"/>
          <w:sz w:val="32"/>
          <w:szCs w:val="32"/>
        </w:rPr>
        <w:t>公里，农村公路总里程</w:t>
      </w:r>
      <w:r>
        <w:rPr>
          <w:rFonts w:hint="eastAsia" w:ascii="仿宋" w:hAnsi="仿宋" w:eastAsia="仿宋" w:cs="仿宋"/>
          <w:color w:val="000000" w:themeColor="text1"/>
          <w:kern w:val="0"/>
          <w:sz w:val="32"/>
          <w:szCs w:val="32"/>
          <w:lang w:val="en-US" w:eastAsia="zh-CN"/>
        </w:rPr>
        <w:t>135.533</w:t>
      </w:r>
      <w:r>
        <w:rPr>
          <w:rFonts w:hint="eastAsia" w:ascii="仿宋" w:hAnsi="仿宋" w:eastAsia="仿宋" w:cs="仿宋"/>
          <w:color w:val="000000" w:themeColor="text1"/>
          <w:kern w:val="0"/>
          <w:sz w:val="32"/>
          <w:szCs w:val="32"/>
        </w:rPr>
        <w:t>公里。全区行政村村村通油路或水泥路</w:t>
      </w:r>
      <w:r>
        <w:rPr>
          <w:rFonts w:hint="eastAsia" w:ascii="仿宋" w:hAnsi="仿宋" w:eastAsia="仿宋" w:cs="仿宋"/>
          <w:color w:val="000000" w:themeColor="text1"/>
          <w:kern w:val="0"/>
          <w:sz w:val="32"/>
          <w:szCs w:val="32"/>
          <w:lang w:val="en-US" w:eastAsia="zh-CN"/>
        </w:rPr>
        <w:t>71.582</w:t>
      </w:r>
      <w:r>
        <w:rPr>
          <w:rFonts w:hint="eastAsia" w:ascii="仿宋" w:hAnsi="仿宋" w:eastAsia="仿宋" w:cs="仿宋"/>
          <w:color w:val="000000" w:themeColor="text1"/>
          <w:kern w:val="0"/>
          <w:sz w:val="32"/>
          <w:szCs w:val="32"/>
        </w:rPr>
        <w:t>公里。</w:t>
      </w:r>
    </w:p>
    <w:p>
      <w:pPr>
        <w:pStyle w:val="2"/>
        <w:ind w:left="0" w:leftChars="0" w:firstLine="640" w:firstLineChars="200"/>
        <w:rPr>
          <w:rFonts w:hint="default" w:ascii="仿宋" w:hAnsi="仿宋" w:eastAsia="仿宋" w:cs="仿宋"/>
          <w:color w:val="000000" w:themeColor="text1"/>
          <w:kern w:val="0"/>
          <w:sz w:val="32"/>
          <w:szCs w:val="32"/>
          <w:lang w:val="en-US" w:eastAsia="zh-CN" w:bidi="ar-SA"/>
        </w:rPr>
      </w:pPr>
      <w:r>
        <w:rPr>
          <w:rFonts w:hint="eastAsia" w:ascii="仿宋" w:hAnsi="仿宋" w:eastAsia="仿宋" w:cs="仿宋"/>
          <w:color w:val="000000" w:themeColor="text1"/>
          <w:kern w:val="0"/>
          <w:sz w:val="32"/>
          <w:szCs w:val="32"/>
          <w:lang w:val="en-US" w:eastAsia="zh-CN" w:bidi="ar-SA"/>
        </w:rPr>
        <w:t>全年全区全社会能耗总量比上年下降0.3%，万元GDP能耗下降5.4%。</w:t>
      </w:r>
    </w:p>
    <w:p>
      <w:pPr>
        <w:pStyle w:val="2"/>
        <w:ind w:left="0" w:leftChars="0" w:firstLine="640" w:firstLineChars="200"/>
        <w:rPr>
          <w:rFonts w:hint="default" w:ascii="仿宋" w:hAnsi="仿宋" w:eastAsia="仿宋" w:cs="仿宋"/>
          <w:color w:val="000000" w:themeColor="text1"/>
          <w:kern w:val="0"/>
          <w:sz w:val="32"/>
          <w:szCs w:val="32"/>
          <w:lang w:val="en-US" w:eastAsia="zh-CN" w:bidi="ar-SA"/>
        </w:rPr>
      </w:pPr>
      <w:r>
        <w:rPr>
          <w:rFonts w:hint="default" w:ascii="仿宋" w:hAnsi="仿宋" w:eastAsia="仿宋" w:cs="仿宋"/>
          <w:color w:val="000000" w:themeColor="text1"/>
          <w:kern w:val="0"/>
          <w:sz w:val="32"/>
          <w:szCs w:val="32"/>
          <w:lang w:val="en-US" w:eastAsia="zh-CN" w:bidi="ar-SA"/>
        </w:rPr>
        <w:t>全年</w:t>
      </w:r>
      <w:r>
        <w:rPr>
          <w:rFonts w:hint="eastAsia" w:ascii="仿宋" w:hAnsi="仿宋" w:eastAsia="仿宋" w:cs="仿宋"/>
          <w:color w:val="000000" w:themeColor="text1"/>
          <w:kern w:val="0"/>
          <w:sz w:val="32"/>
          <w:szCs w:val="32"/>
          <w:lang w:val="en-US" w:eastAsia="zh-CN" w:bidi="ar-SA"/>
        </w:rPr>
        <w:t>全</w:t>
      </w:r>
      <w:r>
        <w:rPr>
          <w:rFonts w:hint="default" w:ascii="仿宋" w:hAnsi="仿宋" w:eastAsia="仿宋" w:cs="仿宋"/>
          <w:color w:val="000000" w:themeColor="text1"/>
          <w:kern w:val="0"/>
          <w:sz w:val="32"/>
          <w:szCs w:val="32"/>
          <w:lang w:val="en-US" w:eastAsia="zh-CN" w:bidi="ar-SA"/>
        </w:rPr>
        <w:t>区空气质量优良天数比例66.6%，PM10平均浓度为75微克/立方米，PM2.5平均浓度为44微克/立方米。</w:t>
      </w:r>
    </w:p>
    <w:p>
      <w:pPr>
        <w:ind w:firstLine="640" w:firstLineChars="200"/>
        <w:rPr>
          <w:rFonts w:hint="default" w:ascii="仿宋" w:hAnsi="仿宋" w:eastAsia="仿宋" w:cs="仿宋"/>
          <w:color w:val="C00000"/>
          <w:kern w:val="0"/>
          <w:sz w:val="32"/>
          <w:szCs w:val="32"/>
        </w:rPr>
      </w:pPr>
      <w:r>
        <w:rPr>
          <w:rFonts w:hint="eastAsia" w:ascii="仿宋_GB2312" w:hAnsi="仿宋_GB2312" w:eastAsia="仿宋_GB2312" w:cs="仿宋_GB2312"/>
          <w:sz w:val="32"/>
          <w:szCs w:val="32"/>
        </w:rPr>
        <w:t xml:space="preserve">全年全区完成造林面积1.093千公顷，其中人工造林面积0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06千公顷。</w:t>
      </w:r>
      <w:r>
        <w:rPr>
          <w:rFonts w:hint="eastAsia" w:ascii="仿宋_GB2312" w:hAnsi="仿宋_GB2312" w:eastAsia="仿宋_GB2312" w:cs="仿宋_GB2312"/>
          <w:color w:val="000000" w:themeColor="text1"/>
          <w:kern w:val="0"/>
          <w:sz w:val="32"/>
          <w:szCs w:val="32"/>
          <w:lang w:val="en-US" w:eastAsia="zh-CN"/>
        </w:rPr>
        <w:t>全区参加义务植树0.2万余人次，完成义务植树1.5万余株。</w:t>
      </w:r>
      <w:r>
        <w:rPr>
          <w:rFonts w:hint="eastAsia" w:ascii="仿宋_GB2312" w:hAnsi="仿宋_GB2312" w:eastAsia="仿宋_GB2312" w:cs="仿宋_GB2312"/>
          <w:sz w:val="32"/>
          <w:szCs w:val="32"/>
        </w:rPr>
        <w:t>年末共有国家级自然保护区1个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省级森林公园2个。</w:t>
      </w:r>
    </w:p>
    <w:p>
      <w:pPr>
        <w:ind w:firstLine="640" w:firstLineChars="200"/>
        <w:rPr>
          <w:rFonts w:hint="eastAsia"/>
          <w:color w:val="auto"/>
        </w:rPr>
      </w:pPr>
      <w:r>
        <w:rPr>
          <w:rFonts w:hint="eastAsia" w:ascii="仿宋_GB2312" w:hAnsi="仿宋_GB2312" w:eastAsia="仿宋_GB2312" w:cs="仿宋_GB2312"/>
          <w:sz w:val="32"/>
          <w:szCs w:val="32"/>
        </w:rPr>
        <w:t>全年全区农作物受灾面积286公顷，洪涝干旱和地质灾害造成直接经济损失952.9494万元。</w:t>
      </w:r>
      <w:r>
        <w:rPr>
          <w:rFonts w:hint="default" w:ascii="仿宋" w:hAnsi="仿宋" w:eastAsia="仿宋" w:cs="仿宋"/>
          <w:color w:val="auto"/>
          <w:kern w:val="0"/>
          <w:sz w:val="32"/>
          <w:szCs w:val="32"/>
        </w:rPr>
        <w:t>全年全</w:t>
      </w:r>
      <w:r>
        <w:rPr>
          <w:rFonts w:hint="eastAsia" w:ascii="仿宋" w:hAnsi="仿宋" w:eastAsia="仿宋" w:cs="仿宋"/>
          <w:color w:val="auto"/>
          <w:kern w:val="0"/>
          <w:sz w:val="32"/>
          <w:szCs w:val="32"/>
          <w:lang w:val="en-US" w:eastAsia="zh-CN"/>
        </w:rPr>
        <w:t>区</w:t>
      </w:r>
      <w:r>
        <w:rPr>
          <w:rFonts w:hint="default" w:ascii="仿宋" w:hAnsi="仿宋" w:eastAsia="仿宋" w:cs="仿宋"/>
          <w:color w:val="auto"/>
          <w:kern w:val="0"/>
          <w:sz w:val="32"/>
          <w:szCs w:val="32"/>
        </w:rPr>
        <w:t>共发生各类生产安全事故</w:t>
      </w:r>
      <w:r>
        <w:rPr>
          <w:rFonts w:hint="eastAsia" w:ascii="仿宋" w:hAnsi="仿宋" w:eastAsia="仿宋" w:cs="仿宋"/>
          <w:color w:val="auto"/>
          <w:kern w:val="0"/>
          <w:sz w:val="32"/>
          <w:szCs w:val="32"/>
          <w:lang w:val="en-US" w:eastAsia="zh-CN"/>
        </w:rPr>
        <w:t>0</w:t>
      </w:r>
      <w:r>
        <w:rPr>
          <w:rFonts w:hint="default" w:ascii="仿宋" w:hAnsi="仿宋" w:eastAsia="仿宋" w:cs="仿宋"/>
          <w:color w:val="auto"/>
          <w:kern w:val="0"/>
          <w:sz w:val="32"/>
          <w:szCs w:val="32"/>
        </w:rPr>
        <w:t>起，死亡</w:t>
      </w:r>
      <w:r>
        <w:rPr>
          <w:rFonts w:hint="eastAsia" w:ascii="仿宋" w:hAnsi="仿宋" w:eastAsia="仿宋" w:cs="仿宋"/>
          <w:color w:val="auto"/>
          <w:kern w:val="0"/>
          <w:sz w:val="32"/>
          <w:szCs w:val="32"/>
          <w:lang w:val="en-US" w:eastAsia="zh-CN"/>
        </w:rPr>
        <w:t>0</w:t>
      </w:r>
      <w:r>
        <w:rPr>
          <w:rFonts w:hint="default" w:ascii="仿宋" w:hAnsi="仿宋" w:eastAsia="仿宋" w:cs="仿宋"/>
          <w:color w:val="auto"/>
          <w:kern w:val="0"/>
          <w:sz w:val="32"/>
          <w:szCs w:val="32"/>
        </w:rPr>
        <w:t>人。</w:t>
      </w:r>
    </w:p>
    <w:p>
      <w:pPr>
        <w:pStyle w:val="6"/>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注：</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1.本公报2021年数据为初步统计结果。经最终核实，2020年全</w:t>
      </w:r>
      <w:r>
        <w:rPr>
          <w:rFonts w:hint="eastAsia" w:ascii="仿宋" w:hAnsi="仿宋" w:eastAsia="仿宋" w:cs="仿宋"/>
          <w:color w:val="000000" w:themeColor="text1"/>
          <w:sz w:val="24"/>
          <w:szCs w:val="24"/>
          <w:lang w:val="en-US" w:eastAsia="zh-CN"/>
        </w:rPr>
        <w:t>区</w:t>
      </w:r>
      <w:r>
        <w:rPr>
          <w:rFonts w:hint="eastAsia" w:ascii="仿宋" w:hAnsi="仿宋" w:eastAsia="仿宋" w:cs="仿宋"/>
          <w:color w:val="000000" w:themeColor="text1"/>
          <w:sz w:val="24"/>
          <w:szCs w:val="24"/>
        </w:rPr>
        <w:t>生产总值为</w:t>
      </w:r>
      <w:r>
        <w:rPr>
          <w:rFonts w:hint="eastAsia" w:ascii="仿宋" w:hAnsi="仿宋" w:eastAsia="仿宋" w:cs="仿宋"/>
          <w:color w:val="000000" w:themeColor="text1"/>
          <w:sz w:val="24"/>
          <w:szCs w:val="24"/>
          <w:lang w:val="en-US" w:eastAsia="zh-CN"/>
        </w:rPr>
        <w:t>127.1</w:t>
      </w:r>
      <w:r>
        <w:rPr>
          <w:rFonts w:hint="eastAsia" w:ascii="仿宋" w:hAnsi="仿宋" w:eastAsia="仿宋" w:cs="仿宋"/>
          <w:color w:val="000000" w:themeColor="text1"/>
          <w:sz w:val="24"/>
          <w:szCs w:val="24"/>
        </w:rPr>
        <w:t>亿元，比上年</w:t>
      </w:r>
      <w:r>
        <w:rPr>
          <w:rFonts w:hint="eastAsia" w:ascii="仿宋" w:hAnsi="仿宋" w:eastAsia="仿宋" w:cs="仿宋"/>
          <w:color w:val="000000" w:themeColor="text1"/>
          <w:sz w:val="24"/>
          <w:szCs w:val="24"/>
          <w:lang w:eastAsia="zh-CN"/>
        </w:rPr>
        <w:t>下降</w:t>
      </w:r>
      <w:r>
        <w:rPr>
          <w:rFonts w:hint="eastAsia" w:ascii="仿宋" w:hAnsi="仿宋" w:eastAsia="仿宋" w:cs="仿宋"/>
          <w:color w:val="000000" w:themeColor="text1"/>
          <w:sz w:val="24"/>
          <w:szCs w:val="24"/>
          <w:lang w:val="en-US" w:eastAsia="zh-CN"/>
        </w:rPr>
        <w:t>11.4</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eastAsia="zh-CN"/>
        </w:rPr>
        <w:t>其中：第一产业增加值</w:t>
      </w:r>
      <w:r>
        <w:rPr>
          <w:rFonts w:hint="eastAsia" w:ascii="仿宋" w:hAnsi="仿宋" w:eastAsia="仿宋" w:cs="仿宋"/>
          <w:color w:val="000000" w:themeColor="text1"/>
          <w:sz w:val="24"/>
          <w:szCs w:val="24"/>
          <w:lang w:val="en-US" w:eastAsia="zh-CN"/>
        </w:rPr>
        <w:t>0.7</w:t>
      </w:r>
      <w:r>
        <w:rPr>
          <w:rFonts w:hint="eastAsia" w:ascii="仿宋" w:hAnsi="仿宋" w:eastAsia="仿宋" w:cs="仿宋"/>
          <w:color w:val="000000" w:themeColor="text1"/>
          <w:sz w:val="24"/>
          <w:szCs w:val="24"/>
          <w:lang w:eastAsia="zh-CN"/>
        </w:rPr>
        <w:t>亿元，增长</w:t>
      </w:r>
      <w:r>
        <w:rPr>
          <w:rFonts w:hint="eastAsia" w:ascii="仿宋" w:hAnsi="仿宋" w:eastAsia="仿宋" w:cs="仿宋"/>
          <w:color w:val="000000" w:themeColor="text1"/>
          <w:sz w:val="24"/>
          <w:szCs w:val="24"/>
          <w:lang w:val="en-US" w:eastAsia="zh-CN"/>
        </w:rPr>
        <w:t>1.5</w:t>
      </w:r>
      <w:r>
        <w:rPr>
          <w:rFonts w:hint="eastAsia" w:ascii="仿宋" w:hAnsi="仿宋" w:eastAsia="仿宋" w:cs="仿宋"/>
          <w:color w:val="000000" w:themeColor="text1"/>
          <w:sz w:val="24"/>
          <w:szCs w:val="24"/>
          <w:lang w:eastAsia="zh-CN"/>
        </w:rPr>
        <w:t>%；第二产业增加值</w:t>
      </w:r>
      <w:r>
        <w:rPr>
          <w:rFonts w:hint="eastAsia" w:ascii="仿宋" w:hAnsi="仿宋" w:eastAsia="仿宋" w:cs="仿宋"/>
          <w:color w:val="000000" w:themeColor="text1"/>
          <w:sz w:val="24"/>
          <w:szCs w:val="24"/>
          <w:lang w:val="en-US" w:eastAsia="zh-CN"/>
        </w:rPr>
        <w:t>93.5</w:t>
      </w:r>
      <w:r>
        <w:rPr>
          <w:rFonts w:hint="eastAsia" w:ascii="仿宋" w:hAnsi="仿宋" w:eastAsia="仿宋" w:cs="仿宋"/>
          <w:color w:val="000000" w:themeColor="text1"/>
          <w:sz w:val="24"/>
          <w:szCs w:val="24"/>
          <w:lang w:eastAsia="zh-CN"/>
        </w:rPr>
        <w:t>亿元，下降</w:t>
      </w:r>
      <w:r>
        <w:rPr>
          <w:rFonts w:hint="eastAsia" w:ascii="仿宋" w:hAnsi="仿宋" w:eastAsia="仿宋" w:cs="仿宋"/>
          <w:color w:val="000000" w:themeColor="text1"/>
          <w:sz w:val="24"/>
          <w:szCs w:val="24"/>
          <w:lang w:val="en-US" w:eastAsia="zh-CN"/>
        </w:rPr>
        <w:t>14.7</w:t>
      </w:r>
      <w:r>
        <w:rPr>
          <w:rFonts w:hint="eastAsia" w:ascii="仿宋" w:hAnsi="仿宋" w:eastAsia="仿宋" w:cs="仿宋"/>
          <w:color w:val="000000" w:themeColor="text1"/>
          <w:sz w:val="24"/>
          <w:szCs w:val="24"/>
          <w:lang w:eastAsia="zh-CN"/>
        </w:rPr>
        <w:t>%；第三产业增加值</w:t>
      </w:r>
      <w:r>
        <w:rPr>
          <w:rFonts w:hint="eastAsia" w:ascii="仿宋" w:hAnsi="仿宋" w:eastAsia="仿宋" w:cs="仿宋"/>
          <w:color w:val="000000" w:themeColor="text1"/>
          <w:sz w:val="24"/>
          <w:szCs w:val="24"/>
          <w:lang w:val="en-US" w:eastAsia="zh-CN"/>
        </w:rPr>
        <w:t>32.9</w:t>
      </w:r>
      <w:r>
        <w:rPr>
          <w:rFonts w:hint="eastAsia" w:ascii="仿宋" w:hAnsi="仿宋" w:eastAsia="仿宋" w:cs="仿宋"/>
          <w:color w:val="000000" w:themeColor="text1"/>
          <w:sz w:val="24"/>
          <w:szCs w:val="24"/>
          <w:lang w:eastAsia="zh-CN"/>
        </w:rPr>
        <w:t>亿元，下降</w:t>
      </w:r>
      <w:r>
        <w:rPr>
          <w:rFonts w:hint="eastAsia" w:ascii="仿宋" w:hAnsi="仿宋" w:eastAsia="仿宋" w:cs="仿宋"/>
          <w:color w:val="000000" w:themeColor="text1"/>
          <w:sz w:val="24"/>
          <w:szCs w:val="24"/>
          <w:lang w:val="en-US" w:eastAsia="zh-CN"/>
        </w:rPr>
        <w:t>1.8</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rPr>
        <w:t>三次产业结构为</w:t>
      </w:r>
      <w:r>
        <w:rPr>
          <w:rFonts w:hint="eastAsia" w:ascii="仿宋" w:hAnsi="仿宋" w:eastAsia="仿宋" w:cs="仿宋"/>
          <w:color w:val="000000" w:themeColor="text1"/>
          <w:sz w:val="24"/>
          <w:szCs w:val="24"/>
          <w:lang w:val="en-US" w:eastAsia="zh-CN"/>
        </w:rPr>
        <w:t>0.6</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73.6</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25.9</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eastAsia="zh-CN"/>
        </w:rPr>
        <w:t>按常住人口计算，全年</w:t>
      </w:r>
      <w:r>
        <w:rPr>
          <w:rFonts w:hint="eastAsia" w:ascii="仿宋" w:hAnsi="仿宋" w:eastAsia="仿宋" w:cs="仿宋"/>
          <w:color w:val="000000" w:themeColor="text1"/>
          <w:sz w:val="24"/>
          <w:szCs w:val="24"/>
        </w:rPr>
        <w:t>人均地区生产总值</w:t>
      </w:r>
      <w:r>
        <w:rPr>
          <w:rFonts w:hint="eastAsia" w:ascii="仿宋" w:hAnsi="仿宋" w:eastAsia="仿宋" w:cs="仿宋"/>
          <w:color w:val="000000" w:themeColor="text1"/>
          <w:sz w:val="24"/>
          <w:szCs w:val="24"/>
          <w:lang w:val="en-US" w:eastAsia="zh-CN"/>
        </w:rPr>
        <w:t>119387</w:t>
      </w:r>
      <w:r>
        <w:rPr>
          <w:rFonts w:hint="eastAsia" w:ascii="仿宋" w:hAnsi="仿宋" w:eastAsia="仿宋" w:cs="仿宋"/>
          <w:color w:val="000000" w:themeColor="text1"/>
          <w:sz w:val="24"/>
          <w:szCs w:val="24"/>
        </w:rPr>
        <w:t>元</w:t>
      </w:r>
      <w:r>
        <w:rPr>
          <w:rFonts w:hint="eastAsia" w:ascii="仿宋" w:hAnsi="仿宋" w:eastAsia="仿宋" w:cs="仿宋"/>
          <w:color w:val="000000" w:themeColor="text1"/>
          <w:sz w:val="24"/>
          <w:szCs w:val="24"/>
          <w:lang w:eastAsia="zh-CN"/>
        </w:rPr>
        <w:t>，比上年增长</w:t>
      </w:r>
      <w:r>
        <w:rPr>
          <w:rFonts w:hint="eastAsia" w:ascii="仿宋" w:hAnsi="仿宋" w:eastAsia="仿宋" w:cs="仿宋"/>
          <w:color w:val="000000" w:themeColor="text1"/>
          <w:sz w:val="24"/>
          <w:szCs w:val="24"/>
          <w:lang w:val="en-US" w:eastAsia="zh-CN"/>
        </w:rPr>
        <w:t>6.0%</w:t>
      </w:r>
      <w:r>
        <w:rPr>
          <w:rFonts w:hint="eastAsia" w:ascii="仿宋" w:hAnsi="仿宋" w:eastAsia="仿宋" w:cs="仿宋"/>
          <w:color w:val="000000" w:themeColor="text1"/>
          <w:sz w:val="24"/>
          <w:szCs w:val="24"/>
        </w:rPr>
        <w:t>。部分数据因四舍五入的原因，存在总计与分项合计不等的情况。</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2.地区生产总值、各产业增加值绝对数按现价计算，增长速度按</w:t>
      </w:r>
      <w:r>
        <w:rPr>
          <w:rFonts w:hint="eastAsia" w:ascii="仿宋" w:hAnsi="仿宋" w:eastAsia="仿宋" w:cs="仿宋"/>
          <w:color w:val="000000" w:themeColor="text1"/>
          <w:sz w:val="24"/>
          <w:szCs w:val="24"/>
          <w:lang w:eastAsia="zh-CN"/>
        </w:rPr>
        <w:t>不变</w:t>
      </w:r>
      <w:r>
        <w:rPr>
          <w:rFonts w:hint="eastAsia" w:ascii="仿宋" w:hAnsi="仿宋" w:eastAsia="仿宋" w:cs="仿宋"/>
          <w:color w:val="000000" w:themeColor="text1"/>
          <w:sz w:val="24"/>
          <w:szCs w:val="24"/>
        </w:rPr>
        <w:t>价格计算。</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三次产业分类依据国家统计局2018年修订的《三次产业划分规定》，第一产业是指农、林、牧、渔业（不含农、林、牧、渔专业及辅助性活动）；第二产业是指采矿业（不含开采专业及辅助性活动），制造业（不含金属制品、机械和设备修理业），电力、热力、燃气及水生产和供应业，建筑业；第三产业即服务业，是指除第一产业、第二产业以外的其他行业（剔除国际组织）。</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lang w:val="en-US" w:eastAsia="zh-CN"/>
        </w:rPr>
        <w:t>4</w:t>
      </w:r>
      <w:r>
        <w:rPr>
          <w:rFonts w:hint="eastAsia" w:ascii="仿宋" w:hAnsi="仿宋" w:eastAsia="仿宋" w:cs="仿宋"/>
          <w:color w:val="000000" w:themeColor="text1"/>
          <w:sz w:val="24"/>
          <w:szCs w:val="24"/>
        </w:rPr>
        <w:t>.工业战略性新兴产业根据国家统计局制定的《战略性新兴产业分类（2018）》确定。高技术制造业根据国家统计局制定的《高技术产业（制造业）分类（2017）》确定。</w:t>
      </w:r>
    </w:p>
    <w:p>
      <w:pPr>
        <w:pStyle w:val="6"/>
        <w:keepNext w:val="0"/>
        <w:keepLines w:val="0"/>
        <w:widowControl/>
        <w:suppressLineNumbers w:val="0"/>
        <w:wordWrap/>
        <w:spacing w:before="0" w:beforeAutospacing="0" w:after="0" w:afterAutospacing="0" w:line="540" w:lineRule="atLeast"/>
        <w:ind w:left="0" w:right="0" w:firstLine="480" w:firstLineChars="200"/>
        <w:rPr>
          <w:rFonts w:hint="default" w:ascii="仿宋" w:hAnsi="仿宋" w:eastAsia="仿宋" w:cs="仿宋"/>
          <w:color w:val="C00000"/>
          <w:sz w:val="24"/>
          <w:szCs w:val="24"/>
          <w:lang w:val="en-US" w:eastAsia="zh-CN"/>
        </w:rPr>
      </w:pPr>
      <w:r>
        <w:rPr>
          <w:rFonts w:hint="eastAsia" w:ascii="仿宋" w:hAnsi="仿宋" w:eastAsia="仿宋" w:cs="仿宋"/>
          <w:color w:val="000000" w:themeColor="text1"/>
          <w:kern w:val="0"/>
          <w:sz w:val="24"/>
          <w:szCs w:val="24"/>
          <w:lang w:val="en-US" w:eastAsia="zh-CN" w:bidi="ar-SA"/>
        </w:rPr>
        <w:t>5、资料来源本公报中城乡最低生活保障标准、救助城乡低保障人员、发放城乡最低生活保障金额、救助城乡特困人员、发放特困救助供养金额、临时救助困难群众人员，发放救助金额、社区服务中心个数、接受社会各界捐款捐物金额、办理结婚登记和离婚登记情况、出具未婚证明人次等数据来自区民政局；一般公共预算收入金额，一般公共预算支出金额等数据来自区财政局；金融机构各项人民币存贷款余额、上市公司、新三板挂牌公司、保险保费收入和赔款支出等数据来自区金融工作局；拖拉机、营造林面积、参加义务植树人次、义务植树株数、自然保护区和森林公园、农作物受灾和经济损失等数据来自区农业农村局；艺术表演团体、文化设施、文物保护单位、非物质文化遗产项目、群众文体活动场次、体育健身活动次数、体育健身工程覆盖实施情况等数据来自区文化广电和旅游局；各类学校招生、在校、毕业人数、资助学生人数和金额等数据来自区教育局；高新技术企业、国家科技型中小企业、省节能减排科技创新示范企业、院士工作站数量、工程技术研究中心数量、省科学技术奖1项、技术合同登记额、省级以上各类财政科技支持经费等数据来自区科技和工业信息化局；城乡居民基本养老保险人数、参加失业保险人数和领取保险金人数、参加工伤保险人数等数据来自区人力资源和社会保障局；货物贸易进出口、外商投资等数据来自区商务局；参加基本医疗保险人数等数据来自区医疗保障局；公路通车里程、村村通油路或水泥路里程等数据来自区交通运输局；卫生机构、床位数、执业医师和执业护士人数来自区卫健委；空气质量数据来自中站生态环境分局；发生各类生产安全事故及死亡人数来自区应急管理局；其他数据来自区统计局。</w:t>
      </w:r>
    </w:p>
    <w:p>
      <w:pPr>
        <w:pStyle w:val="6"/>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lang w:val="en-US" w:eastAsia="zh-CN"/>
        </w:rPr>
        <w:t>6、</w:t>
      </w:r>
      <w:r>
        <w:rPr>
          <w:rFonts w:hint="eastAsia" w:ascii="仿宋" w:hAnsi="仿宋" w:eastAsia="仿宋" w:cs="仿宋"/>
          <w:color w:val="000000" w:themeColor="text1"/>
          <w:sz w:val="24"/>
          <w:szCs w:val="24"/>
        </w:rPr>
        <w:t>部分数据合计数或相对数由于单位取舍不同而产生的计算误差均未作机械调整。</w:t>
      </w:r>
    </w:p>
    <w:p>
      <w:pPr>
        <w:rPr>
          <w:rFonts w:ascii="仿宋" w:hAnsi="仿宋" w:eastAsia="仿宋" w:cs="仿宋"/>
          <w:color w:val="FF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1CDA4"/>
    <w:multiLevelType w:val="singleLevel"/>
    <w:tmpl w:val="DB01CD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5ZTRhNjViZThkODMyNjFmNDQzNjZiZTVmYWI3NWYifQ=="/>
  </w:docVars>
  <w:rsids>
    <w:rsidRoot w:val="75D32B1E"/>
    <w:rsid w:val="00041EA3"/>
    <w:rsid w:val="000428E6"/>
    <w:rsid w:val="00082B3C"/>
    <w:rsid w:val="000859DA"/>
    <w:rsid w:val="001A1DAE"/>
    <w:rsid w:val="001F7F7E"/>
    <w:rsid w:val="00201C1E"/>
    <w:rsid w:val="0024464A"/>
    <w:rsid w:val="00272F20"/>
    <w:rsid w:val="002E6413"/>
    <w:rsid w:val="003549D6"/>
    <w:rsid w:val="00385B80"/>
    <w:rsid w:val="003C43BB"/>
    <w:rsid w:val="00430C0A"/>
    <w:rsid w:val="0048298A"/>
    <w:rsid w:val="004C35CC"/>
    <w:rsid w:val="005213A2"/>
    <w:rsid w:val="005730FC"/>
    <w:rsid w:val="005F6255"/>
    <w:rsid w:val="006115C0"/>
    <w:rsid w:val="006123B1"/>
    <w:rsid w:val="006814B1"/>
    <w:rsid w:val="006D6F3B"/>
    <w:rsid w:val="00744BB3"/>
    <w:rsid w:val="007A159C"/>
    <w:rsid w:val="007A43C3"/>
    <w:rsid w:val="00831310"/>
    <w:rsid w:val="00933498"/>
    <w:rsid w:val="00995516"/>
    <w:rsid w:val="00A4512C"/>
    <w:rsid w:val="00B1089E"/>
    <w:rsid w:val="00B767A9"/>
    <w:rsid w:val="00C91165"/>
    <w:rsid w:val="00D01EFC"/>
    <w:rsid w:val="00D20B4D"/>
    <w:rsid w:val="00E53D07"/>
    <w:rsid w:val="00E56C41"/>
    <w:rsid w:val="00E7694E"/>
    <w:rsid w:val="00EA2817"/>
    <w:rsid w:val="00FB72F2"/>
    <w:rsid w:val="01017684"/>
    <w:rsid w:val="01347A59"/>
    <w:rsid w:val="01527EDF"/>
    <w:rsid w:val="01634AAB"/>
    <w:rsid w:val="01A65484"/>
    <w:rsid w:val="01B74978"/>
    <w:rsid w:val="01C70348"/>
    <w:rsid w:val="01CA0D85"/>
    <w:rsid w:val="01E4091A"/>
    <w:rsid w:val="02247086"/>
    <w:rsid w:val="02510197"/>
    <w:rsid w:val="02555ED9"/>
    <w:rsid w:val="026C1FFB"/>
    <w:rsid w:val="02A76009"/>
    <w:rsid w:val="02EB05EB"/>
    <w:rsid w:val="031F12CE"/>
    <w:rsid w:val="036D1000"/>
    <w:rsid w:val="037802C6"/>
    <w:rsid w:val="03A36084"/>
    <w:rsid w:val="03BB45AA"/>
    <w:rsid w:val="03BF6142"/>
    <w:rsid w:val="03CF0ABD"/>
    <w:rsid w:val="045126D0"/>
    <w:rsid w:val="04601D53"/>
    <w:rsid w:val="04644730"/>
    <w:rsid w:val="048D195A"/>
    <w:rsid w:val="04936845"/>
    <w:rsid w:val="04C679B5"/>
    <w:rsid w:val="04D07A99"/>
    <w:rsid w:val="04EC7060"/>
    <w:rsid w:val="04ED064B"/>
    <w:rsid w:val="04FC6AE0"/>
    <w:rsid w:val="05145BD8"/>
    <w:rsid w:val="05153056"/>
    <w:rsid w:val="051C2CDE"/>
    <w:rsid w:val="052A52EE"/>
    <w:rsid w:val="0539362A"/>
    <w:rsid w:val="05773A30"/>
    <w:rsid w:val="05D53406"/>
    <w:rsid w:val="05F81055"/>
    <w:rsid w:val="0638308C"/>
    <w:rsid w:val="066A57CB"/>
    <w:rsid w:val="06A44D39"/>
    <w:rsid w:val="06BA27AF"/>
    <w:rsid w:val="06C8767B"/>
    <w:rsid w:val="06DB44D3"/>
    <w:rsid w:val="06EB47E3"/>
    <w:rsid w:val="06ED1A3A"/>
    <w:rsid w:val="06FA27D5"/>
    <w:rsid w:val="070B051F"/>
    <w:rsid w:val="072145DC"/>
    <w:rsid w:val="073E53BF"/>
    <w:rsid w:val="07462294"/>
    <w:rsid w:val="075F2594"/>
    <w:rsid w:val="07691ADF"/>
    <w:rsid w:val="077C1812"/>
    <w:rsid w:val="07833724"/>
    <w:rsid w:val="079175D5"/>
    <w:rsid w:val="079F3753"/>
    <w:rsid w:val="07B436A2"/>
    <w:rsid w:val="07B976C5"/>
    <w:rsid w:val="080F15E4"/>
    <w:rsid w:val="08234384"/>
    <w:rsid w:val="0837011C"/>
    <w:rsid w:val="083D5445"/>
    <w:rsid w:val="084F33CB"/>
    <w:rsid w:val="08612A73"/>
    <w:rsid w:val="08714021"/>
    <w:rsid w:val="08B5322E"/>
    <w:rsid w:val="08E437E4"/>
    <w:rsid w:val="08F301FA"/>
    <w:rsid w:val="093305F6"/>
    <w:rsid w:val="0946032A"/>
    <w:rsid w:val="096B378F"/>
    <w:rsid w:val="097053A7"/>
    <w:rsid w:val="09B87FCE"/>
    <w:rsid w:val="09D43B87"/>
    <w:rsid w:val="09E76BEE"/>
    <w:rsid w:val="0A356BC7"/>
    <w:rsid w:val="0A4505E1"/>
    <w:rsid w:val="0A5D3B7D"/>
    <w:rsid w:val="0A80786B"/>
    <w:rsid w:val="0A984BB5"/>
    <w:rsid w:val="0AC31DC9"/>
    <w:rsid w:val="0ADD2F10"/>
    <w:rsid w:val="0AE61DC4"/>
    <w:rsid w:val="0AEC7FD0"/>
    <w:rsid w:val="0AFE12F5"/>
    <w:rsid w:val="0B297647"/>
    <w:rsid w:val="0B3F3C64"/>
    <w:rsid w:val="0B5C3E34"/>
    <w:rsid w:val="0B6131F9"/>
    <w:rsid w:val="0B9244AD"/>
    <w:rsid w:val="0BA65D7A"/>
    <w:rsid w:val="0BC0456A"/>
    <w:rsid w:val="0BDB2B67"/>
    <w:rsid w:val="0C0369A6"/>
    <w:rsid w:val="0C061FF2"/>
    <w:rsid w:val="0C2C3B88"/>
    <w:rsid w:val="0C380D85"/>
    <w:rsid w:val="0C871385"/>
    <w:rsid w:val="0CCE0D62"/>
    <w:rsid w:val="0CD81FE0"/>
    <w:rsid w:val="0CF54541"/>
    <w:rsid w:val="0D002EE5"/>
    <w:rsid w:val="0D140704"/>
    <w:rsid w:val="0D197B03"/>
    <w:rsid w:val="0D1B236A"/>
    <w:rsid w:val="0D542E96"/>
    <w:rsid w:val="0D5A276F"/>
    <w:rsid w:val="0DA73B82"/>
    <w:rsid w:val="0DAC1C3E"/>
    <w:rsid w:val="0DB00467"/>
    <w:rsid w:val="0E013747"/>
    <w:rsid w:val="0E16593F"/>
    <w:rsid w:val="0E5708C4"/>
    <w:rsid w:val="0E5A03D3"/>
    <w:rsid w:val="0E8C446E"/>
    <w:rsid w:val="0E9909B8"/>
    <w:rsid w:val="0ECF491D"/>
    <w:rsid w:val="0F0A1DF9"/>
    <w:rsid w:val="0F3B0205"/>
    <w:rsid w:val="0F4A3E67"/>
    <w:rsid w:val="0F515C7A"/>
    <w:rsid w:val="0F747687"/>
    <w:rsid w:val="0FA2064B"/>
    <w:rsid w:val="0FA32AAF"/>
    <w:rsid w:val="0FA61B22"/>
    <w:rsid w:val="0FFD4225"/>
    <w:rsid w:val="0FFF56D6"/>
    <w:rsid w:val="10086339"/>
    <w:rsid w:val="100E3C08"/>
    <w:rsid w:val="10134CDE"/>
    <w:rsid w:val="10191164"/>
    <w:rsid w:val="103C51F6"/>
    <w:rsid w:val="104E0165"/>
    <w:rsid w:val="107C0AD5"/>
    <w:rsid w:val="10863702"/>
    <w:rsid w:val="108F0808"/>
    <w:rsid w:val="10925A7C"/>
    <w:rsid w:val="109852EC"/>
    <w:rsid w:val="10C27336"/>
    <w:rsid w:val="10C61D50"/>
    <w:rsid w:val="10D64689"/>
    <w:rsid w:val="10D6635B"/>
    <w:rsid w:val="11234432"/>
    <w:rsid w:val="11351FC9"/>
    <w:rsid w:val="116E041E"/>
    <w:rsid w:val="118916FB"/>
    <w:rsid w:val="119D229A"/>
    <w:rsid w:val="11C5740C"/>
    <w:rsid w:val="11C97D4A"/>
    <w:rsid w:val="11EE6BF4"/>
    <w:rsid w:val="121D69D6"/>
    <w:rsid w:val="122B4943"/>
    <w:rsid w:val="124F0883"/>
    <w:rsid w:val="12521AED"/>
    <w:rsid w:val="12A32349"/>
    <w:rsid w:val="12FE7EC7"/>
    <w:rsid w:val="1303728B"/>
    <w:rsid w:val="13190E51"/>
    <w:rsid w:val="13225964"/>
    <w:rsid w:val="135D5BA6"/>
    <w:rsid w:val="136057B9"/>
    <w:rsid w:val="13783CEF"/>
    <w:rsid w:val="13EB3FA7"/>
    <w:rsid w:val="13EE5846"/>
    <w:rsid w:val="140B4AED"/>
    <w:rsid w:val="14180502"/>
    <w:rsid w:val="141F1528"/>
    <w:rsid w:val="14396398"/>
    <w:rsid w:val="14847F58"/>
    <w:rsid w:val="148A3535"/>
    <w:rsid w:val="14A376BB"/>
    <w:rsid w:val="14A437A0"/>
    <w:rsid w:val="14A800EA"/>
    <w:rsid w:val="14A91E64"/>
    <w:rsid w:val="14AE2DAD"/>
    <w:rsid w:val="14B06F9F"/>
    <w:rsid w:val="14D7452C"/>
    <w:rsid w:val="14DB226E"/>
    <w:rsid w:val="151920E1"/>
    <w:rsid w:val="155E2E9F"/>
    <w:rsid w:val="15710277"/>
    <w:rsid w:val="15995E7A"/>
    <w:rsid w:val="15A71EC1"/>
    <w:rsid w:val="15B4486D"/>
    <w:rsid w:val="15BE6DAB"/>
    <w:rsid w:val="15C2342E"/>
    <w:rsid w:val="15FF3D3A"/>
    <w:rsid w:val="160A42F0"/>
    <w:rsid w:val="16457A62"/>
    <w:rsid w:val="16473A81"/>
    <w:rsid w:val="166A6559"/>
    <w:rsid w:val="16826719"/>
    <w:rsid w:val="168B3A44"/>
    <w:rsid w:val="169A1213"/>
    <w:rsid w:val="169C3C7F"/>
    <w:rsid w:val="16A3500D"/>
    <w:rsid w:val="16CA1510"/>
    <w:rsid w:val="16CF0EC8"/>
    <w:rsid w:val="16D630A4"/>
    <w:rsid w:val="16DB0BA3"/>
    <w:rsid w:val="16DC051F"/>
    <w:rsid w:val="16E3365C"/>
    <w:rsid w:val="16EC657B"/>
    <w:rsid w:val="1723076A"/>
    <w:rsid w:val="173739A8"/>
    <w:rsid w:val="176A7232"/>
    <w:rsid w:val="178A3AD7"/>
    <w:rsid w:val="17AF79E2"/>
    <w:rsid w:val="17CF3BE0"/>
    <w:rsid w:val="17F04282"/>
    <w:rsid w:val="18041ADC"/>
    <w:rsid w:val="183C604C"/>
    <w:rsid w:val="18550589"/>
    <w:rsid w:val="18A4506D"/>
    <w:rsid w:val="18CF3CB8"/>
    <w:rsid w:val="18DB7FA7"/>
    <w:rsid w:val="1903609F"/>
    <w:rsid w:val="190D2F64"/>
    <w:rsid w:val="190D7898"/>
    <w:rsid w:val="19227658"/>
    <w:rsid w:val="19235F91"/>
    <w:rsid w:val="19365251"/>
    <w:rsid w:val="193F7204"/>
    <w:rsid w:val="195C14A3"/>
    <w:rsid w:val="197176DE"/>
    <w:rsid w:val="19A54D92"/>
    <w:rsid w:val="19BE3F0C"/>
    <w:rsid w:val="19C77265"/>
    <w:rsid w:val="19F05074"/>
    <w:rsid w:val="19F31730"/>
    <w:rsid w:val="1A0C3F20"/>
    <w:rsid w:val="1A11228E"/>
    <w:rsid w:val="1A15545B"/>
    <w:rsid w:val="1A1661CA"/>
    <w:rsid w:val="1A4268EB"/>
    <w:rsid w:val="1A676352"/>
    <w:rsid w:val="1A7E0C69"/>
    <w:rsid w:val="1A9E4AB4"/>
    <w:rsid w:val="1AC333F8"/>
    <w:rsid w:val="1AD41E4A"/>
    <w:rsid w:val="1B1C713C"/>
    <w:rsid w:val="1B1D597D"/>
    <w:rsid w:val="1B214920"/>
    <w:rsid w:val="1B2D759B"/>
    <w:rsid w:val="1B4169AB"/>
    <w:rsid w:val="1B5C5FCB"/>
    <w:rsid w:val="1B8D1DE8"/>
    <w:rsid w:val="1B993335"/>
    <w:rsid w:val="1BB472B8"/>
    <w:rsid w:val="1BCA0B6E"/>
    <w:rsid w:val="1BE340FE"/>
    <w:rsid w:val="1BEF2AA3"/>
    <w:rsid w:val="1C023003"/>
    <w:rsid w:val="1C025840"/>
    <w:rsid w:val="1C2E646B"/>
    <w:rsid w:val="1C450915"/>
    <w:rsid w:val="1C8256C5"/>
    <w:rsid w:val="1C9660A5"/>
    <w:rsid w:val="1CBB5A90"/>
    <w:rsid w:val="1CE974F2"/>
    <w:rsid w:val="1D326E93"/>
    <w:rsid w:val="1D6B6159"/>
    <w:rsid w:val="1D972DAB"/>
    <w:rsid w:val="1DAF05B3"/>
    <w:rsid w:val="1DB23D88"/>
    <w:rsid w:val="1DEA1774"/>
    <w:rsid w:val="1E0C793C"/>
    <w:rsid w:val="1E220F0E"/>
    <w:rsid w:val="1E311151"/>
    <w:rsid w:val="1E445058"/>
    <w:rsid w:val="1E553C4C"/>
    <w:rsid w:val="1E5C77AF"/>
    <w:rsid w:val="1E6F77DF"/>
    <w:rsid w:val="1E7B16F8"/>
    <w:rsid w:val="1E96080A"/>
    <w:rsid w:val="1EA7598F"/>
    <w:rsid w:val="1EB57765"/>
    <w:rsid w:val="1ECB5101"/>
    <w:rsid w:val="1F0143D2"/>
    <w:rsid w:val="1F296668"/>
    <w:rsid w:val="1F39249A"/>
    <w:rsid w:val="1FCB1131"/>
    <w:rsid w:val="1FD71884"/>
    <w:rsid w:val="1FDF25FF"/>
    <w:rsid w:val="1FF730FD"/>
    <w:rsid w:val="20111287"/>
    <w:rsid w:val="201E1F01"/>
    <w:rsid w:val="202D5948"/>
    <w:rsid w:val="204825AF"/>
    <w:rsid w:val="20484530"/>
    <w:rsid w:val="205B24B5"/>
    <w:rsid w:val="2072468A"/>
    <w:rsid w:val="20724974"/>
    <w:rsid w:val="207E493E"/>
    <w:rsid w:val="20A0436C"/>
    <w:rsid w:val="20AC2D10"/>
    <w:rsid w:val="20F47953"/>
    <w:rsid w:val="21051CA7"/>
    <w:rsid w:val="21192919"/>
    <w:rsid w:val="212339B6"/>
    <w:rsid w:val="212D5E52"/>
    <w:rsid w:val="21317A7A"/>
    <w:rsid w:val="214058BF"/>
    <w:rsid w:val="21410CD7"/>
    <w:rsid w:val="214271D1"/>
    <w:rsid w:val="217E5C39"/>
    <w:rsid w:val="217F21D3"/>
    <w:rsid w:val="21DE0C2D"/>
    <w:rsid w:val="2208041A"/>
    <w:rsid w:val="2217240B"/>
    <w:rsid w:val="221E19EC"/>
    <w:rsid w:val="22350AE4"/>
    <w:rsid w:val="2237485C"/>
    <w:rsid w:val="2241051D"/>
    <w:rsid w:val="22547CC7"/>
    <w:rsid w:val="226514F4"/>
    <w:rsid w:val="229D440A"/>
    <w:rsid w:val="22FF31BA"/>
    <w:rsid w:val="230F7587"/>
    <w:rsid w:val="234B76E0"/>
    <w:rsid w:val="234C07DB"/>
    <w:rsid w:val="23502079"/>
    <w:rsid w:val="23694EE9"/>
    <w:rsid w:val="238D507B"/>
    <w:rsid w:val="23A06262"/>
    <w:rsid w:val="23DD461A"/>
    <w:rsid w:val="242641B0"/>
    <w:rsid w:val="242673A6"/>
    <w:rsid w:val="242F7EE0"/>
    <w:rsid w:val="244A2F6C"/>
    <w:rsid w:val="244A6AC8"/>
    <w:rsid w:val="245A1973"/>
    <w:rsid w:val="246833F2"/>
    <w:rsid w:val="24D25C14"/>
    <w:rsid w:val="25096670"/>
    <w:rsid w:val="253B7E2A"/>
    <w:rsid w:val="254974E0"/>
    <w:rsid w:val="257527D8"/>
    <w:rsid w:val="25C46078"/>
    <w:rsid w:val="25D115E1"/>
    <w:rsid w:val="25E42F4C"/>
    <w:rsid w:val="26094761"/>
    <w:rsid w:val="260B2287"/>
    <w:rsid w:val="260E53C8"/>
    <w:rsid w:val="26457D7B"/>
    <w:rsid w:val="26606A77"/>
    <w:rsid w:val="26780E08"/>
    <w:rsid w:val="26BC7A25"/>
    <w:rsid w:val="26D66D39"/>
    <w:rsid w:val="26E054C2"/>
    <w:rsid w:val="26E5094A"/>
    <w:rsid w:val="26F412B7"/>
    <w:rsid w:val="2727357C"/>
    <w:rsid w:val="275D1833"/>
    <w:rsid w:val="275D2FB6"/>
    <w:rsid w:val="27651E6B"/>
    <w:rsid w:val="278818BE"/>
    <w:rsid w:val="27916CFA"/>
    <w:rsid w:val="27950FB5"/>
    <w:rsid w:val="279664C8"/>
    <w:rsid w:val="279F4C64"/>
    <w:rsid w:val="27A20FE9"/>
    <w:rsid w:val="27A4153B"/>
    <w:rsid w:val="27A54E4E"/>
    <w:rsid w:val="27B64475"/>
    <w:rsid w:val="27C70430"/>
    <w:rsid w:val="27EB2370"/>
    <w:rsid w:val="27F751B9"/>
    <w:rsid w:val="28017DE6"/>
    <w:rsid w:val="2810627B"/>
    <w:rsid w:val="28750910"/>
    <w:rsid w:val="287E7613"/>
    <w:rsid w:val="28BA1D43"/>
    <w:rsid w:val="28CA01D8"/>
    <w:rsid w:val="2916166F"/>
    <w:rsid w:val="298C3AA9"/>
    <w:rsid w:val="29A72C75"/>
    <w:rsid w:val="29C63095"/>
    <w:rsid w:val="29CD4916"/>
    <w:rsid w:val="29E00EFE"/>
    <w:rsid w:val="29F12D2D"/>
    <w:rsid w:val="29F46316"/>
    <w:rsid w:val="29FA6CC9"/>
    <w:rsid w:val="2A060B46"/>
    <w:rsid w:val="2A514B25"/>
    <w:rsid w:val="2AA2056F"/>
    <w:rsid w:val="2AD13CA0"/>
    <w:rsid w:val="2AF1427A"/>
    <w:rsid w:val="2B1E2A5D"/>
    <w:rsid w:val="2B2142FB"/>
    <w:rsid w:val="2B612949"/>
    <w:rsid w:val="2B9053F8"/>
    <w:rsid w:val="2BD80E5D"/>
    <w:rsid w:val="2BD96290"/>
    <w:rsid w:val="2BE315B0"/>
    <w:rsid w:val="2BE5357A"/>
    <w:rsid w:val="2BE772F2"/>
    <w:rsid w:val="2BEB0CFB"/>
    <w:rsid w:val="2C49281B"/>
    <w:rsid w:val="2C820DC9"/>
    <w:rsid w:val="2C956D4E"/>
    <w:rsid w:val="2C9B2631"/>
    <w:rsid w:val="2CB2345D"/>
    <w:rsid w:val="2CBB7F9F"/>
    <w:rsid w:val="2CC55886"/>
    <w:rsid w:val="2CF41CC7"/>
    <w:rsid w:val="2CF47F19"/>
    <w:rsid w:val="2CF577ED"/>
    <w:rsid w:val="2CFB3D8A"/>
    <w:rsid w:val="2D6F23DE"/>
    <w:rsid w:val="2D7746A6"/>
    <w:rsid w:val="2D9E60D7"/>
    <w:rsid w:val="2DA0091A"/>
    <w:rsid w:val="2DAF2092"/>
    <w:rsid w:val="2DCC49F2"/>
    <w:rsid w:val="2DFA7533"/>
    <w:rsid w:val="2E083AB4"/>
    <w:rsid w:val="2E3D144C"/>
    <w:rsid w:val="2E3E76ED"/>
    <w:rsid w:val="2E432A80"/>
    <w:rsid w:val="2E68261C"/>
    <w:rsid w:val="2E6D51E7"/>
    <w:rsid w:val="2E7E58A8"/>
    <w:rsid w:val="2E950E26"/>
    <w:rsid w:val="2E9A25D8"/>
    <w:rsid w:val="2EB6049D"/>
    <w:rsid w:val="2EC52F9A"/>
    <w:rsid w:val="2EE82402"/>
    <w:rsid w:val="2EEE67F3"/>
    <w:rsid w:val="2EFE0BDB"/>
    <w:rsid w:val="2F427627"/>
    <w:rsid w:val="2FA35866"/>
    <w:rsid w:val="2FEE6EA1"/>
    <w:rsid w:val="300422BD"/>
    <w:rsid w:val="301601A6"/>
    <w:rsid w:val="302B2FD8"/>
    <w:rsid w:val="302E5A2A"/>
    <w:rsid w:val="306B04F2"/>
    <w:rsid w:val="30727EDD"/>
    <w:rsid w:val="30742770"/>
    <w:rsid w:val="309C0A74"/>
    <w:rsid w:val="30A21A3A"/>
    <w:rsid w:val="30AC4667"/>
    <w:rsid w:val="30CF71A4"/>
    <w:rsid w:val="30F46739"/>
    <w:rsid w:val="313A65C2"/>
    <w:rsid w:val="313F3781"/>
    <w:rsid w:val="314B20D2"/>
    <w:rsid w:val="316F7D26"/>
    <w:rsid w:val="31953880"/>
    <w:rsid w:val="31D17310"/>
    <w:rsid w:val="31EC5663"/>
    <w:rsid w:val="31ED3E23"/>
    <w:rsid w:val="32326DEE"/>
    <w:rsid w:val="32597690"/>
    <w:rsid w:val="32676A97"/>
    <w:rsid w:val="32794452"/>
    <w:rsid w:val="32887FC7"/>
    <w:rsid w:val="32D10501"/>
    <w:rsid w:val="32D70700"/>
    <w:rsid w:val="331F3816"/>
    <w:rsid w:val="33201F23"/>
    <w:rsid w:val="33781E43"/>
    <w:rsid w:val="338A5133"/>
    <w:rsid w:val="33B45D0C"/>
    <w:rsid w:val="33E5680D"/>
    <w:rsid w:val="33FE167D"/>
    <w:rsid w:val="342C4EC8"/>
    <w:rsid w:val="34311A53"/>
    <w:rsid w:val="34374DF8"/>
    <w:rsid w:val="3464452F"/>
    <w:rsid w:val="346F0CAD"/>
    <w:rsid w:val="347C1AB2"/>
    <w:rsid w:val="34CE214D"/>
    <w:rsid w:val="34F211E2"/>
    <w:rsid w:val="34F715C7"/>
    <w:rsid w:val="35004F81"/>
    <w:rsid w:val="355768CE"/>
    <w:rsid w:val="35DE41F4"/>
    <w:rsid w:val="36343134"/>
    <w:rsid w:val="36421A71"/>
    <w:rsid w:val="36483084"/>
    <w:rsid w:val="367F38FD"/>
    <w:rsid w:val="36AD2EE7"/>
    <w:rsid w:val="36DD220B"/>
    <w:rsid w:val="36DD37CC"/>
    <w:rsid w:val="36EB5FB2"/>
    <w:rsid w:val="36ED4944"/>
    <w:rsid w:val="3700570C"/>
    <w:rsid w:val="370276D6"/>
    <w:rsid w:val="370D4395"/>
    <w:rsid w:val="37410209"/>
    <w:rsid w:val="376379C1"/>
    <w:rsid w:val="3772660A"/>
    <w:rsid w:val="37806E25"/>
    <w:rsid w:val="37895702"/>
    <w:rsid w:val="379C71E3"/>
    <w:rsid w:val="37BC7885"/>
    <w:rsid w:val="38064D7C"/>
    <w:rsid w:val="38196A86"/>
    <w:rsid w:val="385B17DF"/>
    <w:rsid w:val="38644B89"/>
    <w:rsid w:val="38795776"/>
    <w:rsid w:val="388A117B"/>
    <w:rsid w:val="3893203C"/>
    <w:rsid w:val="38A073B4"/>
    <w:rsid w:val="38AD7F63"/>
    <w:rsid w:val="38B769E8"/>
    <w:rsid w:val="38C86055"/>
    <w:rsid w:val="38DF26A8"/>
    <w:rsid w:val="391515EB"/>
    <w:rsid w:val="3929719C"/>
    <w:rsid w:val="39697599"/>
    <w:rsid w:val="396C0E37"/>
    <w:rsid w:val="39900FC9"/>
    <w:rsid w:val="39A46823"/>
    <w:rsid w:val="39BE5B37"/>
    <w:rsid w:val="39C944DB"/>
    <w:rsid w:val="39CC3033"/>
    <w:rsid w:val="39CE1115"/>
    <w:rsid w:val="39FA4695"/>
    <w:rsid w:val="3A020880"/>
    <w:rsid w:val="3A18053F"/>
    <w:rsid w:val="3A4D6EBA"/>
    <w:rsid w:val="3A8723CC"/>
    <w:rsid w:val="3A887B03"/>
    <w:rsid w:val="3A8C2EB9"/>
    <w:rsid w:val="3AAD729F"/>
    <w:rsid w:val="3AB54DA3"/>
    <w:rsid w:val="3ADB611B"/>
    <w:rsid w:val="3B0532F1"/>
    <w:rsid w:val="3B2216F2"/>
    <w:rsid w:val="3B2458B0"/>
    <w:rsid w:val="3B2E6F98"/>
    <w:rsid w:val="3B3346AA"/>
    <w:rsid w:val="3BD656B9"/>
    <w:rsid w:val="3BE519B4"/>
    <w:rsid w:val="3C7050E2"/>
    <w:rsid w:val="3CD72A6B"/>
    <w:rsid w:val="3CF0295C"/>
    <w:rsid w:val="3D0B79E9"/>
    <w:rsid w:val="3D163594"/>
    <w:rsid w:val="3D204F2B"/>
    <w:rsid w:val="3D29776B"/>
    <w:rsid w:val="3D2A703F"/>
    <w:rsid w:val="3D4E0F7F"/>
    <w:rsid w:val="3DBA4867"/>
    <w:rsid w:val="3DBB413B"/>
    <w:rsid w:val="3DC95DE0"/>
    <w:rsid w:val="3DE12C05"/>
    <w:rsid w:val="3DE92F1E"/>
    <w:rsid w:val="3E1A3557"/>
    <w:rsid w:val="3E4F46AE"/>
    <w:rsid w:val="3E760D57"/>
    <w:rsid w:val="3EA572C5"/>
    <w:rsid w:val="3F491F68"/>
    <w:rsid w:val="3F536D21"/>
    <w:rsid w:val="3F76656C"/>
    <w:rsid w:val="3F9520B5"/>
    <w:rsid w:val="3FA0183A"/>
    <w:rsid w:val="3FA96941"/>
    <w:rsid w:val="3FC45529"/>
    <w:rsid w:val="3FCF2120"/>
    <w:rsid w:val="3FE536F1"/>
    <w:rsid w:val="40271F5C"/>
    <w:rsid w:val="40295CD4"/>
    <w:rsid w:val="402D5DC0"/>
    <w:rsid w:val="4033454D"/>
    <w:rsid w:val="40953369"/>
    <w:rsid w:val="40EA0BB5"/>
    <w:rsid w:val="40F40090"/>
    <w:rsid w:val="41086370"/>
    <w:rsid w:val="411B0AD9"/>
    <w:rsid w:val="41272213"/>
    <w:rsid w:val="41474664"/>
    <w:rsid w:val="415D7B9F"/>
    <w:rsid w:val="42054087"/>
    <w:rsid w:val="421309EA"/>
    <w:rsid w:val="42B2779B"/>
    <w:rsid w:val="42E14644"/>
    <w:rsid w:val="430A17B4"/>
    <w:rsid w:val="43610C51"/>
    <w:rsid w:val="43893B63"/>
    <w:rsid w:val="43921FC5"/>
    <w:rsid w:val="43B835F7"/>
    <w:rsid w:val="43BD6E5F"/>
    <w:rsid w:val="43CA50D8"/>
    <w:rsid w:val="43D40C92"/>
    <w:rsid w:val="43DE3B85"/>
    <w:rsid w:val="44066B1E"/>
    <w:rsid w:val="440D650B"/>
    <w:rsid w:val="442764C7"/>
    <w:rsid w:val="44437501"/>
    <w:rsid w:val="44461C1B"/>
    <w:rsid w:val="44564BBE"/>
    <w:rsid w:val="445B0426"/>
    <w:rsid w:val="44623A35"/>
    <w:rsid w:val="45283316"/>
    <w:rsid w:val="452B604A"/>
    <w:rsid w:val="45532502"/>
    <w:rsid w:val="45576E3F"/>
    <w:rsid w:val="455E3D2A"/>
    <w:rsid w:val="45603F46"/>
    <w:rsid w:val="4571562C"/>
    <w:rsid w:val="45763769"/>
    <w:rsid w:val="45921465"/>
    <w:rsid w:val="459C6AFE"/>
    <w:rsid w:val="45CD4679"/>
    <w:rsid w:val="45D67359"/>
    <w:rsid w:val="45DC6186"/>
    <w:rsid w:val="45F26AAE"/>
    <w:rsid w:val="45F60406"/>
    <w:rsid w:val="466C6B3F"/>
    <w:rsid w:val="467B3D94"/>
    <w:rsid w:val="46B34549"/>
    <w:rsid w:val="46BF6A4A"/>
    <w:rsid w:val="46F2539B"/>
    <w:rsid w:val="4773693A"/>
    <w:rsid w:val="47835CCA"/>
    <w:rsid w:val="47B16CDB"/>
    <w:rsid w:val="47D97FDF"/>
    <w:rsid w:val="47DA1545"/>
    <w:rsid w:val="47DC4CA1"/>
    <w:rsid w:val="47EB386F"/>
    <w:rsid w:val="4820176A"/>
    <w:rsid w:val="482202D7"/>
    <w:rsid w:val="4823125B"/>
    <w:rsid w:val="48847F4B"/>
    <w:rsid w:val="488A510E"/>
    <w:rsid w:val="48AE6D76"/>
    <w:rsid w:val="48ED5C35"/>
    <w:rsid w:val="48EE7ABB"/>
    <w:rsid w:val="490C58FB"/>
    <w:rsid w:val="49294ADE"/>
    <w:rsid w:val="49392E7D"/>
    <w:rsid w:val="495D254A"/>
    <w:rsid w:val="49715BC5"/>
    <w:rsid w:val="498B70B7"/>
    <w:rsid w:val="498E0956"/>
    <w:rsid w:val="499522CC"/>
    <w:rsid w:val="49995E63"/>
    <w:rsid w:val="49B91E77"/>
    <w:rsid w:val="49C5081B"/>
    <w:rsid w:val="49F64E79"/>
    <w:rsid w:val="4A1433DA"/>
    <w:rsid w:val="4A4A2ACF"/>
    <w:rsid w:val="4A6F2535"/>
    <w:rsid w:val="4AA2290B"/>
    <w:rsid w:val="4AC705C3"/>
    <w:rsid w:val="4AD131F0"/>
    <w:rsid w:val="4AD66A58"/>
    <w:rsid w:val="4AF52ED4"/>
    <w:rsid w:val="4B1411AE"/>
    <w:rsid w:val="4B315A3D"/>
    <w:rsid w:val="4B3A1389"/>
    <w:rsid w:val="4B526D79"/>
    <w:rsid w:val="4B55195F"/>
    <w:rsid w:val="4BA206E8"/>
    <w:rsid w:val="4BB24DCF"/>
    <w:rsid w:val="4BC30D8B"/>
    <w:rsid w:val="4BC66ACD"/>
    <w:rsid w:val="4C052C36"/>
    <w:rsid w:val="4CA7245A"/>
    <w:rsid w:val="4CB9218D"/>
    <w:rsid w:val="4CE511D4"/>
    <w:rsid w:val="4CE5247E"/>
    <w:rsid w:val="4CEE1E37"/>
    <w:rsid w:val="4CFE5DF2"/>
    <w:rsid w:val="4D043409"/>
    <w:rsid w:val="4D123D77"/>
    <w:rsid w:val="4D1B69A4"/>
    <w:rsid w:val="4D4203D5"/>
    <w:rsid w:val="4D471547"/>
    <w:rsid w:val="4D677E3B"/>
    <w:rsid w:val="4DAE3242"/>
    <w:rsid w:val="4DBF1A26"/>
    <w:rsid w:val="4DEA1C1D"/>
    <w:rsid w:val="4E317FF7"/>
    <w:rsid w:val="4E5B34FC"/>
    <w:rsid w:val="4E7520E4"/>
    <w:rsid w:val="4EB55ABE"/>
    <w:rsid w:val="4ED11A10"/>
    <w:rsid w:val="4EFA3B41"/>
    <w:rsid w:val="4F02606E"/>
    <w:rsid w:val="4F0C2A48"/>
    <w:rsid w:val="4F0E2C85"/>
    <w:rsid w:val="4F103D94"/>
    <w:rsid w:val="4F302BDB"/>
    <w:rsid w:val="4F3376A8"/>
    <w:rsid w:val="4F3D5063"/>
    <w:rsid w:val="4F4026F2"/>
    <w:rsid w:val="4F731F21"/>
    <w:rsid w:val="4FBA6948"/>
    <w:rsid w:val="4FE87012"/>
    <w:rsid w:val="50285660"/>
    <w:rsid w:val="50566671"/>
    <w:rsid w:val="5086682B"/>
    <w:rsid w:val="50BC78F1"/>
    <w:rsid w:val="512A7C48"/>
    <w:rsid w:val="51360251"/>
    <w:rsid w:val="51672BF3"/>
    <w:rsid w:val="5175220F"/>
    <w:rsid w:val="51A010D6"/>
    <w:rsid w:val="51A72C5B"/>
    <w:rsid w:val="51B11685"/>
    <w:rsid w:val="5201085F"/>
    <w:rsid w:val="521340EE"/>
    <w:rsid w:val="52240FED"/>
    <w:rsid w:val="524F15CA"/>
    <w:rsid w:val="527934C5"/>
    <w:rsid w:val="527F3531"/>
    <w:rsid w:val="52905D6C"/>
    <w:rsid w:val="52A82A88"/>
    <w:rsid w:val="52B94C95"/>
    <w:rsid w:val="52F03646"/>
    <w:rsid w:val="52FC2C8D"/>
    <w:rsid w:val="535C34CA"/>
    <w:rsid w:val="536444B8"/>
    <w:rsid w:val="536966BB"/>
    <w:rsid w:val="536A2433"/>
    <w:rsid w:val="53760DD8"/>
    <w:rsid w:val="538A73DF"/>
    <w:rsid w:val="538D3872"/>
    <w:rsid w:val="539B6326"/>
    <w:rsid w:val="53B37937"/>
    <w:rsid w:val="53C1052D"/>
    <w:rsid w:val="53D967E6"/>
    <w:rsid w:val="53DA4EC3"/>
    <w:rsid w:val="53E90DAD"/>
    <w:rsid w:val="540B51FB"/>
    <w:rsid w:val="542A77B8"/>
    <w:rsid w:val="546450D5"/>
    <w:rsid w:val="548F2152"/>
    <w:rsid w:val="549E4143"/>
    <w:rsid w:val="54EF499E"/>
    <w:rsid w:val="54F33592"/>
    <w:rsid w:val="55093012"/>
    <w:rsid w:val="552A00CC"/>
    <w:rsid w:val="55386FB1"/>
    <w:rsid w:val="55432F3C"/>
    <w:rsid w:val="55546EF7"/>
    <w:rsid w:val="555C6BD0"/>
    <w:rsid w:val="558A46C7"/>
    <w:rsid w:val="559E76D2"/>
    <w:rsid w:val="55A81A65"/>
    <w:rsid w:val="55BF23EE"/>
    <w:rsid w:val="55CF409A"/>
    <w:rsid w:val="5621502B"/>
    <w:rsid w:val="5632548A"/>
    <w:rsid w:val="56365414"/>
    <w:rsid w:val="56680EAC"/>
    <w:rsid w:val="56703856"/>
    <w:rsid w:val="567315FF"/>
    <w:rsid w:val="56A66920"/>
    <w:rsid w:val="56C500AD"/>
    <w:rsid w:val="56D976B4"/>
    <w:rsid w:val="56F8250A"/>
    <w:rsid w:val="57064A98"/>
    <w:rsid w:val="57266671"/>
    <w:rsid w:val="574D0D59"/>
    <w:rsid w:val="5762118D"/>
    <w:rsid w:val="57743881"/>
    <w:rsid w:val="57A8352A"/>
    <w:rsid w:val="57D96C56"/>
    <w:rsid w:val="57EE3633"/>
    <w:rsid w:val="57FF75EE"/>
    <w:rsid w:val="5842572D"/>
    <w:rsid w:val="58783637"/>
    <w:rsid w:val="587C0C3F"/>
    <w:rsid w:val="5898359F"/>
    <w:rsid w:val="589F0489"/>
    <w:rsid w:val="590B5737"/>
    <w:rsid w:val="592B4413"/>
    <w:rsid w:val="59434531"/>
    <w:rsid w:val="594554D5"/>
    <w:rsid w:val="596C0CB3"/>
    <w:rsid w:val="598041CB"/>
    <w:rsid w:val="598D3023"/>
    <w:rsid w:val="599A79A6"/>
    <w:rsid w:val="59A10231"/>
    <w:rsid w:val="59AC24F7"/>
    <w:rsid w:val="59AD4E28"/>
    <w:rsid w:val="59EC38E1"/>
    <w:rsid w:val="5A0A227A"/>
    <w:rsid w:val="5A2E41BB"/>
    <w:rsid w:val="5A693A4F"/>
    <w:rsid w:val="5AF32D0E"/>
    <w:rsid w:val="5B0B5C18"/>
    <w:rsid w:val="5B184523"/>
    <w:rsid w:val="5B1F49A4"/>
    <w:rsid w:val="5B370E4D"/>
    <w:rsid w:val="5B477393"/>
    <w:rsid w:val="5B5437AD"/>
    <w:rsid w:val="5B63298B"/>
    <w:rsid w:val="5B85605C"/>
    <w:rsid w:val="5BD13050"/>
    <w:rsid w:val="5BD655A2"/>
    <w:rsid w:val="5C2A0E90"/>
    <w:rsid w:val="5C390BF5"/>
    <w:rsid w:val="5C40476C"/>
    <w:rsid w:val="5C425CFC"/>
    <w:rsid w:val="5C4952DC"/>
    <w:rsid w:val="5CAE5E6B"/>
    <w:rsid w:val="5CBD5382"/>
    <w:rsid w:val="5CD1707F"/>
    <w:rsid w:val="5D0E3E30"/>
    <w:rsid w:val="5D221689"/>
    <w:rsid w:val="5D3560D4"/>
    <w:rsid w:val="5D8202BE"/>
    <w:rsid w:val="5D891708"/>
    <w:rsid w:val="5DD07337"/>
    <w:rsid w:val="5DD56FF0"/>
    <w:rsid w:val="5DD92690"/>
    <w:rsid w:val="5DDD17E1"/>
    <w:rsid w:val="5DFC726C"/>
    <w:rsid w:val="5E225DE5"/>
    <w:rsid w:val="5E2A6A47"/>
    <w:rsid w:val="5E710FBC"/>
    <w:rsid w:val="5E7F176F"/>
    <w:rsid w:val="5E936558"/>
    <w:rsid w:val="5E9D7480"/>
    <w:rsid w:val="5EC96260"/>
    <w:rsid w:val="5EDD1D0C"/>
    <w:rsid w:val="5EE75B17"/>
    <w:rsid w:val="5EEF6B9A"/>
    <w:rsid w:val="5F27742B"/>
    <w:rsid w:val="5F28567D"/>
    <w:rsid w:val="5F4B3119"/>
    <w:rsid w:val="5F5415CE"/>
    <w:rsid w:val="5F64545E"/>
    <w:rsid w:val="5F993D1B"/>
    <w:rsid w:val="5F9D0CBA"/>
    <w:rsid w:val="5FCF78A6"/>
    <w:rsid w:val="5FD72BFF"/>
    <w:rsid w:val="5FEB66AA"/>
    <w:rsid w:val="60036C0D"/>
    <w:rsid w:val="60622ED8"/>
    <w:rsid w:val="60792793"/>
    <w:rsid w:val="60AE6449"/>
    <w:rsid w:val="60CF1B28"/>
    <w:rsid w:val="60D1360B"/>
    <w:rsid w:val="60D4713E"/>
    <w:rsid w:val="60E86BFD"/>
    <w:rsid w:val="610923E5"/>
    <w:rsid w:val="61161505"/>
    <w:rsid w:val="611D0E9C"/>
    <w:rsid w:val="612F7FCE"/>
    <w:rsid w:val="61453B98"/>
    <w:rsid w:val="618034E5"/>
    <w:rsid w:val="618F19E3"/>
    <w:rsid w:val="619568CD"/>
    <w:rsid w:val="61AD66ED"/>
    <w:rsid w:val="61B050E7"/>
    <w:rsid w:val="61BE4076"/>
    <w:rsid w:val="61C80A51"/>
    <w:rsid w:val="61D70C94"/>
    <w:rsid w:val="61FB0E26"/>
    <w:rsid w:val="621912AD"/>
    <w:rsid w:val="621F43E9"/>
    <w:rsid w:val="622F1669"/>
    <w:rsid w:val="623460E6"/>
    <w:rsid w:val="624D53FA"/>
    <w:rsid w:val="625B7B17"/>
    <w:rsid w:val="625D388F"/>
    <w:rsid w:val="62650996"/>
    <w:rsid w:val="62683FE2"/>
    <w:rsid w:val="626B793D"/>
    <w:rsid w:val="62764FAB"/>
    <w:rsid w:val="627666FF"/>
    <w:rsid w:val="629B008E"/>
    <w:rsid w:val="629D0130"/>
    <w:rsid w:val="62B22401"/>
    <w:rsid w:val="62FA736F"/>
    <w:rsid w:val="63003949"/>
    <w:rsid w:val="631A1780"/>
    <w:rsid w:val="632443AD"/>
    <w:rsid w:val="63350160"/>
    <w:rsid w:val="633B39FC"/>
    <w:rsid w:val="63506F50"/>
    <w:rsid w:val="63575791"/>
    <w:rsid w:val="63696264"/>
    <w:rsid w:val="63750C42"/>
    <w:rsid w:val="63960D2D"/>
    <w:rsid w:val="63A70B3A"/>
    <w:rsid w:val="63B17E96"/>
    <w:rsid w:val="63C74D38"/>
    <w:rsid w:val="63E0176B"/>
    <w:rsid w:val="63E453A9"/>
    <w:rsid w:val="63F7386F"/>
    <w:rsid w:val="641A2EBD"/>
    <w:rsid w:val="641C6E32"/>
    <w:rsid w:val="64395E7C"/>
    <w:rsid w:val="64412DBA"/>
    <w:rsid w:val="64476F4B"/>
    <w:rsid w:val="64616F3B"/>
    <w:rsid w:val="6477675E"/>
    <w:rsid w:val="64852C29"/>
    <w:rsid w:val="64992B79"/>
    <w:rsid w:val="64CE4D88"/>
    <w:rsid w:val="64DE058B"/>
    <w:rsid w:val="64E02CF2"/>
    <w:rsid w:val="65077AE2"/>
    <w:rsid w:val="652A028A"/>
    <w:rsid w:val="6535464F"/>
    <w:rsid w:val="653F6B42"/>
    <w:rsid w:val="65407C11"/>
    <w:rsid w:val="65426D6C"/>
    <w:rsid w:val="65495368"/>
    <w:rsid w:val="655B3896"/>
    <w:rsid w:val="655E3A77"/>
    <w:rsid w:val="657809E0"/>
    <w:rsid w:val="658B24C1"/>
    <w:rsid w:val="658B4268"/>
    <w:rsid w:val="658C7000"/>
    <w:rsid w:val="65AC068A"/>
    <w:rsid w:val="65E816C2"/>
    <w:rsid w:val="65E9543A"/>
    <w:rsid w:val="66094DB9"/>
    <w:rsid w:val="661078D0"/>
    <w:rsid w:val="661C136B"/>
    <w:rsid w:val="661E3757"/>
    <w:rsid w:val="664D59C9"/>
    <w:rsid w:val="665C474C"/>
    <w:rsid w:val="665F17E4"/>
    <w:rsid w:val="66723681"/>
    <w:rsid w:val="66BE125A"/>
    <w:rsid w:val="66E7147B"/>
    <w:rsid w:val="66F402EA"/>
    <w:rsid w:val="66F9345B"/>
    <w:rsid w:val="67036A86"/>
    <w:rsid w:val="671B5AC7"/>
    <w:rsid w:val="671F6C47"/>
    <w:rsid w:val="67423054"/>
    <w:rsid w:val="67656D42"/>
    <w:rsid w:val="67717495"/>
    <w:rsid w:val="6780592A"/>
    <w:rsid w:val="67C07E4A"/>
    <w:rsid w:val="67DA7730"/>
    <w:rsid w:val="67FB2A48"/>
    <w:rsid w:val="67FC76A6"/>
    <w:rsid w:val="67FD2B83"/>
    <w:rsid w:val="67FF2F55"/>
    <w:rsid w:val="68203D1B"/>
    <w:rsid w:val="68472B6D"/>
    <w:rsid w:val="685272C6"/>
    <w:rsid w:val="68531CDD"/>
    <w:rsid w:val="68680898"/>
    <w:rsid w:val="68945B31"/>
    <w:rsid w:val="68E37F9C"/>
    <w:rsid w:val="68FA40F3"/>
    <w:rsid w:val="690031C6"/>
    <w:rsid w:val="690C3919"/>
    <w:rsid w:val="69322309"/>
    <w:rsid w:val="694035C3"/>
    <w:rsid w:val="694626F8"/>
    <w:rsid w:val="69594031"/>
    <w:rsid w:val="69696D75"/>
    <w:rsid w:val="699A71FC"/>
    <w:rsid w:val="69A8763A"/>
    <w:rsid w:val="69B67D29"/>
    <w:rsid w:val="69C20DE4"/>
    <w:rsid w:val="69C50ADB"/>
    <w:rsid w:val="69C74CBB"/>
    <w:rsid w:val="6A0D7DED"/>
    <w:rsid w:val="6A462E5B"/>
    <w:rsid w:val="6A8B4D12"/>
    <w:rsid w:val="6ACD70D8"/>
    <w:rsid w:val="6AD119EC"/>
    <w:rsid w:val="6AD9782B"/>
    <w:rsid w:val="6B604762"/>
    <w:rsid w:val="6B6A6C83"/>
    <w:rsid w:val="6B944D8F"/>
    <w:rsid w:val="6BB72D7E"/>
    <w:rsid w:val="6BBD539F"/>
    <w:rsid w:val="6BCE220C"/>
    <w:rsid w:val="6BD12BF8"/>
    <w:rsid w:val="6BE75F78"/>
    <w:rsid w:val="6BF608B1"/>
    <w:rsid w:val="6C514054"/>
    <w:rsid w:val="6C5D26DE"/>
    <w:rsid w:val="6C755C79"/>
    <w:rsid w:val="6C770BB5"/>
    <w:rsid w:val="6C845EBC"/>
    <w:rsid w:val="6C86741D"/>
    <w:rsid w:val="6C8E6D3B"/>
    <w:rsid w:val="6CB70040"/>
    <w:rsid w:val="6CB93DB8"/>
    <w:rsid w:val="6CCB3AEB"/>
    <w:rsid w:val="6CFA4F3B"/>
    <w:rsid w:val="6D1D3BF9"/>
    <w:rsid w:val="6D1F744D"/>
    <w:rsid w:val="6D25444C"/>
    <w:rsid w:val="6D352F7B"/>
    <w:rsid w:val="6D437B25"/>
    <w:rsid w:val="6D5B09CB"/>
    <w:rsid w:val="6D6D6950"/>
    <w:rsid w:val="6D77157D"/>
    <w:rsid w:val="6D9D14A4"/>
    <w:rsid w:val="6DB63E53"/>
    <w:rsid w:val="6DD15131"/>
    <w:rsid w:val="6E027099"/>
    <w:rsid w:val="6E196913"/>
    <w:rsid w:val="6E2C680B"/>
    <w:rsid w:val="6E6E3BE9"/>
    <w:rsid w:val="6E76733B"/>
    <w:rsid w:val="6E8612AA"/>
    <w:rsid w:val="6E9248C1"/>
    <w:rsid w:val="6EA91C0A"/>
    <w:rsid w:val="6EB365E5"/>
    <w:rsid w:val="6ED0368D"/>
    <w:rsid w:val="6EE92007"/>
    <w:rsid w:val="6EEA392C"/>
    <w:rsid w:val="6EF747E7"/>
    <w:rsid w:val="6EFA7E44"/>
    <w:rsid w:val="6F516BAB"/>
    <w:rsid w:val="6F631DB9"/>
    <w:rsid w:val="6F796C19"/>
    <w:rsid w:val="6FB26695"/>
    <w:rsid w:val="6FC211D5"/>
    <w:rsid w:val="70096E04"/>
    <w:rsid w:val="70313A42"/>
    <w:rsid w:val="7049481C"/>
    <w:rsid w:val="70B54896"/>
    <w:rsid w:val="70C26FB3"/>
    <w:rsid w:val="70C41323"/>
    <w:rsid w:val="70DE5BAC"/>
    <w:rsid w:val="70E06818"/>
    <w:rsid w:val="70EE1B56"/>
    <w:rsid w:val="70EE7FD0"/>
    <w:rsid w:val="70F60C6B"/>
    <w:rsid w:val="711772FF"/>
    <w:rsid w:val="712424A9"/>
    <w:rsid w:val="71816E6E"/>
    <w:rsid w:val="720750AB"/>
    <w:rsid w:val="7213773D"/>
    <w:rsid w:val="721970A7"/>
    <w:rsid w:val="721B4B69"/>
    <w:rsid w:val="722523DA"/>
    <w:rsid w:val="72651D1D"/>
    <w:rsid w:val="72824C4C"/>
    <w:rsid w:val="728F1117"/>
    <w:rsid w:val="72BB1F0C"/>
    <w:rsid w:val="72CC4119"/>
    <w:rsid w:val="72D902DB"/>
    <w:rsid w:val="72D922D2"/>
    <w:rsid w:val="72F40506"/>
    <w:rsid w:val="7329331A"/>
    <w:rsid w:val="73352A0F"/>
    <w:rsid w:val="733E7955"/>
    <w:rsid w:val="7363318F"/>
    <w:rsid w:val="73784B15"/>
    <w:rsid w:val="73B9644B"/>
    <w:rsid w:val="73D414D7"/>
    <w:rsid w:val="73E27753"/>
    <w:rsid w:val="73FE47A6"/>
    <w:rsid w:val="74681C20"/>
    <w:rsid w:val="74C4779E"/>
    <w:rsid w:val="74F3598D"/>
    <w:rsid w:val="755A1EB0"/>
    <w:rsid w:val="757C62BA"/>
    <w:rsid w:val="75993854"/>
    <w:rsid w:val="75D32B1E"/>
    <w:rsid w:val="76005B8B"/>
    <w:rsid w:val="76063720"/>
    <w:rsid w:val="760944E2"/>
    <w:rsid w:val="76116A13"/>
    <w:rsid w:val="76370B8C"/>
    <w:rsid w:val="76377AFB"/>
    <w:rsid w:val="763C02F5"/>
    <w:rsid w:val="76827673"/>
    <w:rsid w:val="76A41635"/>
    <w:rsid w:val="76B55D08"/>
    <w:rsid w:val="76B61368"/>
    <w:rsid w:val="76D23B71"/>
    <w:rsid w:val="76DA4F81"/>
    <w:rsid w:val="76E80E22"/>
    <w:rsid w:val="770754B2"/>
    <w:rsid w:val="77135F98"/>
    <w:rsid w:val="772E30C3"/>
    <w:rsid w:val="77765AAD"/>
    <w:rsid w:val="77D45F4A"/>
    <w:rsid w:val="77D61F04"/>
    <w:rsid w:val="78396B34"/>
    <w:rsid w:val="783B7D77"/>
    <w:rsid w:val="789353C9"/>
    <w:rsid w:val="78BD078C"/>
    <w:rsid w:val="78D04EAD"/>
    <w:rsid w:val="79002D6F"/>
    <w:rsid w:val="790D3456"/>
    <w:rsid w:val="791A7F61"/>
    <w:rsid w:val="792E51E6"/>
    <w:rsid w:val="79A862DB"/>
    <w:rsid w:val="7A002417"/>
    <w:rsid w:val="7A114262"/>
    <w:rsid w:val="7A312B48"/>
    <w:rsid w:val="7A320D06"/>
    <w:rsid w:val="7A430B5F"/>
    <w:rsid w:val="7A666C01"/>
    <w:rsid w:val="7A826F8A"/>
    <w:rsid w:val="7A9D480F"/>
    <w:rsid w:val="7AAF042F"/>
    <w:rsid w:val="7AAF29A1"/>
    <w:rsid w:val="7B034450"/>
    <w:rsid w:val="7B1228E5"/>
    <w:rsid w:val="7B171D01"/>
    <w:rsid w:val="7B31720F"/>
    <w:rsid w:val="7B580C40"/>
    <w:rsid w:val="7B9A6617"/>
    <w:rsid w:val="7B9B3F93"/>
    <w:rsid w:val="7BA048B9"/>
    <w:rsid w:val="7BBF6E5D"/>
    <w:rsid w:val="7BD8636F"/>
    <w:rsid w:val="7C286864"/>
    <w:rsid w:val="7C3639F5"/>
    <w:rsid w:val="7C606D6D"/>
    <w:rsid w:val="7C693ED0"/>
    <w:rsid w:val="7C6D3A08"/>
    <w:rsid w:val="7C8D1DBB"/>
    <w:rsid w:val="7C961A20"/>
    <w:rsid w:val="7CAF2AE1"/>
    <w:rsid w:val="7CB400F8"/>
    <w:rsid w:val="7CB81B01"/>
    <w:rsid w:val="7D0F68B1"/>
    <w:rsid w:val="7D1172F8"/>
    <w:rsid w:val="7D3E3F8C"/>
    <w:rsid w:val="7D406FB9"/>
    <w:rsid w:val="7D4A45B8"/>
    <w:rsid w:val="7D507DD4"/>
    <w:rsid w:val="7D894928"/>
    <w:rsid w:val="7DB91369"/>
    <w:rsid w:val="7DC26844"/>
    <w:rsid w:val="7DCE3B5B"/>
    <w:rsid w:val="7DDE1223"/>
    <w:rsid w:val="7DFA7D8C"/>
    <w:rsid w:val="7E0429B9"/>
    <w:rsid w:val="7E165433"/>
    <w:rsid w:val="7E991412"/>
    <w:rsid w:val="7EEC0498"/>
    <w:rsid w:val="7EFF6F9C"/>
    <w:rsid w:val="7F1B539F"/>
    <w:rsid w:val="7F240ECD"/>
    <w:rsid w:val="7F4A08A0"/>
    <w:rsid w:val="7F563747"/>
    <w:rsid w:val="7F840255"/>
    <w:rsid w:val="7F8C1A7C"/>
    <w:rsid w:val="7FCE327F"/>
    <w:rsid w:val="7FFD1DB6"/>
    <w:rsid w:val="83EED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line="360" w:lineRule="auto"/>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yperlink"/>
    <w:basedOn w:val="9"/>
    <w:qFormat/>
    <w:uiPriority w:val="0"/>
    <w:rPr>
      <w:color w:val="000000"/>
      <w:u w:val="none"/>
    </w:rPr>
  </w:style>
  <w:style w:type="paragraph" w:customStyle="1" w:styleId="13">
    <w:name w:val="p0"/>
    <w:basedOn w:val="1"/>
    <w:qFormat/>
    <w:uiPriority w:val="0"/>
    <w:pPr>
      <w:widowControl/>
    </w:pPr>
    <w:rPr>
      <w:kern w:val="0"/>
      <w:szCs w:val="21"/>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5">
    <w:name w:val="font01"/>
    <w:basedOn w:val="9"/>
    <w:qFormat/>
    <w:uiPriority w:val="0"/>
    <w:rPr>
      <w:rFonts w:ascii="Arial" w:hAnsi="Arial" w:cs="Arial"/>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character" w:customStyle="1" w:styleId="17">
    <w:name w:val="a_p_2"/>
    <w:basedOn w:val="9"/>
    <w:qFormat/>
    <w:uiPriority w:val="0"/>
  </w:style>
  <w:style w:type="character" w:customStyle="1" w:styleId="18">
    <w:name w:val="a_p_21"/>
    <w:basedOn w:val="9"/>
    <w:qFormat/>
    <w:uiPriority w:val="0"/>
    <w:rPr>
      <w:sz w:val="27"/>
      <w:szCs w:val="27"/>
    </w:rPr>
  </w:style>
  <w:style w:type="character" w:customStyle="1" w:styleId="19">
    <w:name w:val="ul_li_a_1"/>
    <w:basedOn w:val="9"/>
    <w:qFormat/>
    <w:uiPriority w:val="0"/>
    <w:rPr>
      <w:b/>
      <w:bCs/>
      <w:color w:val="FFFFFF"/>
    </w:rPr>
  </w:style>
  <w:style w:type="character" w:customStyle="1" w:styleId="20">
    <w:name w:val="exap"/>
    <w:basedOn w:val="9"/>
    <w:qFormat/>
    <w:uiPriority w:val="0"/>
    <w:rPr>
      <w:sz w:val="27"/>
      <w:szCs w:val="27"/>
    </w:rPr>
  </w:style>
  <w:style w:type="character" w:customStyle="1" w:styleId="21">
    <w:name w:val="a_p_1"/>
    <w:basedOn w:val="9"/>
    <w:qFormat/>
    <w:uiPriority w:val="0"/>
    <w:rPr>
      <w:sz w:val="27"/>
      <w:szCs w:val="27"/>
    </w:rPr>
  </w:style>
  <w:style w:type="character" w:customStyle="1" w:styleId="22">
    <w:name w:val="a_p_3"/>
    <w:basedOn w:val="9"/>
    <w:qFormat/>
    <w:uiPriority w:val="0"/>
    <w:rPr>
      <w:sz w:val="27"/>
      <w:szCs w:val="27"/>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PC-202107050937\Desktop\&#32479;&#35745;&#20844;&#25253;&#65288;&#22270;&#34920;&#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2479;&#35745;&#20844;&#25253;\&#32479;&#35745;&#20844;&#25253;\2021&#24180;&#32479;&#35745;&#20844;&#25253;&#65288;&#22270;&#34920;&#65289;.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32479;&#35745;&#20844;&#25253;\&#32479;&#35745;&#20844;&#25253;\2021&#24180;&#32479;&#35745;&#20844;&#25253;&#65288;&#22270;&#3492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PC-202107050937\Desktop\&#32479;&#35745;&#20844;&#25253;&#65288;&#22270;&#3492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PC-202107050937\Desktop\&#32479;&#35745;&#20844;&#25253;&#65288;&#22270;&#3492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2479;&#35745;&#20844;&#25253;\&#32479;&#35745;&#20844;&#25253;\2021&#24180;&#32479;&#35745;&#20844;&#25253;&#65288;&#22270;&#3492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32479;&#35745;&#20844;&#25253;\&#32479;&#35745;&#20844;&#25253;\2021&#24180;&#32479;&#35745;&#20844;&#25253;&#65288;&#22270;&#3492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32479;&#35745;&#20844;&#25253;\&#32479;&#35745;&#20844;&#25253;\2021&#24180;&#32479;&#35745;&#20844;&#25253;&#65288;&#22270;&#34920;&#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G:\&#32479;&#35745;&#20844;&#25253;\&#32479;&#35745;&#20844;&#25253;\2021&#24180;&#32479;&#35745;&#20844;&#25253;&#65288;&#22270;&#34920;&#65289;.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G:\&#32479;&#35745;&#20844;&#25253;\&#32479;&#35745;&#20844;&#25253;\2021&#24180;&#32479;&#35745;&#20844;&#25253;&#65288;&#22270;&#34920;&#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G:\&#32479;&#35745;&#20844;&#25253;\&#32479;&#35745;&#20844;&#25253;\2021&#24180;&#32479;&#35745;&#20844;&#25253;&#65288;&#22270;&#3492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  2017-2021</a:t>
            </a:r>
            <a:r>
              <a:rPr altLang="en-US">
                <a:solidFill>
                  <a:schemeClr val="tx1"/>
                </a:solidFill>
              </a:rPr>
              <a:t>年中站区地区生产总值及其增长速度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778175106702042"/>
          <c:y val="0.178280121183873"/>
          <c:w val="0.864205790748645"/>
          <c:h val="0.636308552784899"/>
        </c:manualLayout>
      </c:layout>
      <c:barChart>
        <c:barDir val="col"/>
        <c:grouping val="clustered"/>
        <c:varyColors val="false"/>
        <c:ser>
          <c:idx val="0"/>
          <c:order val="0"/>
          <c:tx>
            <c:strRef>
              <c:f>'[统计公报（图表）.xlsx]Sheet1'!$B$2</c:f>
              <c:strCache>
                <c:ptCount val="1"/>
                <c:pt idx="0">
                  <c:v>地区生产总值</c:v>
                </c:pt>
              </c:strCache>
            </c:strRef>
          </c:tx>
          <c:spPr>
            <a:solidFill>
              <a:schemeClr val="accent2"/>
            </a:solidFill>
            <a:ln>
              <a:solidFill>
                <a:schemeClr val="accent2"/>
              </a:solid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'[统计公报（图表）.xlsx]Sheet1'!$A$3:$A$7</c:f>
              <c:numCache>
                <c:formatCode>General</c:formatCode>
                <c:ptCount val="5"/>
                <c:pt idx="0">
                  <c:v>2017</c:v>
                </c:pt>
                <c:pt idx="1">
                  <c:v>2018</c:v>
                </c:pt>
                <c:pt idx="2">
                  <c:v>2019</c:v>
                </c:pt>
                <c:pt idx="3">
                  <c:v>2020</c:v>
                </c:pt>
                <c:pt idx="4">
                  <c:v>2021</c:v>
                </c:pt>
              </c:numCache>
            </c:numRef>
          </c:cat>
          <c:val>
            <c:numRef>
              <c:f>'[统计公报（图表）.xlsx]Sheet1'!$B$3:$B$7</c:f>
              <c:numCache>
                <c:formatCode>0.0_ </c:formatCode>
                <c:ptCount val="5"/>
                <c:pt idx="0">
                  <c:v>95.6759</c:v>
                </c:pt>
                <c:pt idx="1">
                  <c:v>105.4086</c:v>
                </c:pt>
                <c:pt idx="2">
                  <c:v>118.2038</c:v>
                </c:pt>
                <c:pt idx="3">
                  <c:v>127.1234</c:v>
                </c:pt>
                <c:pt idx="4">
                  <c:v>137.7978</c:v>
                </c:pt>
              </c:numCache>
            </c:numRef>
          </c:val>
        </c:ser>
        <c:dLbls>
          <c:showLegendKey val="false"/>
          <c:showVal val="true"/>
          <c:showCatName val="false"/>
          <c:showSerName val="false"/>
          <c:showPercent val="false"/>
          <c:showBubbleSize val="false"/>
        </c:dLbls>
        <c:gapWidth val="219"/>
        <c:overlap val="-27"/>
        <c:axId val="163717467"/>
        <c:axId val="802342666"/>
      </c:barChart>
      <c:lineChart>
        <c:grouping val="standard"/>
        <c:varyColors val="false"/>
        <c:ser>
          <c:idx val="1"/>
          <c:order val="1"/>
          <c:tx>
            <c:strRef>
              <c:f>'[统计公报（图表）.xlsx]Sheet1'!$C$2</c:f>
              <c:strCache>
                <c:ptCount val="1"/>
                <c:pt idx="0">
                  <c:v>比上年增长</c:v>
                </c:pt>
              </c:strCache>
            </c:strRef>
          </c:tx>
          <c:spPr>
            <a:ln w="28575" cap="rnd">
              <a:solidFill>
                <a:schemeClr val="accent1"/>
              </a:solidFill>
              <a:round/>
              <a:headEnd type="none"/>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'[统计公报（图表）.xlsx]Sheet1'!$A$3:$A$7</c:f>
              <c:numCache>
                <c:formatCode>General</c:formatCode>
                <c:ptCount val="5"/>
                <c:pt idx="0">
                  <c:v>2017</c:v>
                </c:pt>
                <c:pt idx="1">
                  <c:v>2018</c:v>
                </c:pt>
                <c:pt idx="2">
                  <c:v>2019</c:v>
                </c:pt>
                <c:pt idx="3">
                  <c:v>2020</c:v>
                </c:pt>
                <c:pt idx="4">
                  <c:v>2021</c:v>
                </c:pt>
              </c:numCache>
            </c:numRef>
          </c:cat>
          <c:val>
            <c:numRef>
              <c:f>'[统计公报（图表）.xlsx]Sheet1'!$C$3:$C$7</c:f>
              <c:numCache>
                <c:formatCode>General</c:formatCode>
                <c:ptCount val="5"/>
                <c:pt idx="0">
                  <c:v>6.2</c:v>
                </c:pt>
                <c:pt idx="1">
                  <c:v>7.2</c:v>
                </c:pt>
                <c:pt idx="2">
                  <c:v>9.9</c:v>
                </c:pt>
                <c:pt idx="3">
                  <c:v>-11.4</c:v>
                </c:pt>
                <c:pt idx="4">
                  <c:v>5.4</c:v>
                </c:pt>
              </c:numCache>
            </c:numRef>
          </c:val>
          <c:smooth val="false"/>
        </c:ser>
        <c:dLbls>
          <c:showLegendKey val="false"/>
          <c:showVal val="true"/>
          <c:showCatName val="false"/>
          <c:showSerName val="false"/>
          <c:showPercent val="false"/>
          <c:showBubbleSize val="false"/>
        </c:dLbls>
        <c:marker val="true"/>
        <c:smooth val="false"/>
        <c:axId val="836800411"/>
        <c:axId val="365353363"/>
      </c:lineChart>
      <c:catAx>
        <c:axId val="163717467"/>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a:solidFill>
                      <a:schemeClr val="tx1"/>
                    </a:solidFill>
                  </a:rPr>
                  <a:t>亿元</a:t>
                </a:r>
                <a:endParaRPr>
                  <a:solidFill>
                    <a:schemeClr val="tx1"/>
                  </a:solidFill>
                </a:endParaRPr>
              </a:p>
            </c:rich>
          </c:tx>
          <c:layout>
            <c:manualLayout>
              <c:xMode val="edge"/>
              <c:yMode val="edge"/>
              <c:x val="0.0132079824662591"/>
              <c:y val="0.068049405732929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802342666"/>
        <c:crosses val="autoZero"/>
        <c:auto val="true"/>
        <c:lblAlgn val="ctr"/>
        <c:lblOffset val="100"/>
        <c:noMultiLvlLbl val="false"/>
      </c:catAx>
      <c:valAx>
        <c:axId val="802342666"/>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163717467"/>
        <c:crosses val="autoZero"/>
        <c:crossBetween val="between"/>
      </c:valAx>
      <c:catAx>
        <c:axId val="836800411"/>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lang="en-US" altLang="zh-CN"/>
                  <a:t>%</a:t>
                </a:r>
                <a:endParaRPr lang="en-US" altLang="zh-CN"/>
              </a:p>
            </c:rich>
          </c:tx>
          <c:layout>
            <c:manualLayout>
              <c:xMode val="edge"/>
              <c:yMode val="edge"/>
              <c:x val="0.948552312838851"/>
              <c:y val="0.0501048706595199"/>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365353363"/>
        <c:crosses val="autoZero"/>
        <c:auto val="true"/>
        <c:lblAlgn val="ctr"/>
        <c:lblOffset val="100"/>
        <c:noMultiLvlLbl val="false"/>
      </c:catAx>
      <c:valAx>
        <c:axId val="365353363"/>
        <c:scaling>
          <c:orientation val="minMax"/>
        </c:scaling>
        <c:delete val="false"/>
        <c:axPos val="r"/>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836800411"/>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alpha val="88000"/>
      </a:schemeClr>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10  2017-2021</a:t>
            </a:r>
            <a:r>
              <a:rPr altLang="en-US">
                <a:solidFill>
                  <a:schemeClr val="tx1"/>
                </a:solidFill>
              </a:rPr>
              <a:t>年中站区一般公共预算收入及其增长速度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674292316580012"/>
          <c:y val="0.243961352657005"/>
          <c:w val="0.865141536683998"/>
          <c:h val="0.539951690821256"/>
        </c:manualLayout>
      </c:layout>
      <c:barChart>
        <c:barDir val="col"/>
        <c:grouping val="clustered"/>
        <c:varyColors val="false"/>
        <c:ser>
          <c:idx val="0"/>
          <c:order val="0"/>
          <c:tx>
            <c:strRef>
              <c:f>'[2021年统计公报（图表）.xlsx]Sheet1'!$B$145</c:f>
              <c:strCache>
                <c:ptCount val="1"/>
                <c:pt idx="0">
                  <c:v>一般公共预算收入</c:v>
                </c:pt>
              </c:strCache>
            </c:strRef>
          </c:tx>
          <c:spPr>
            <a:solidFill>
              <a:schemeClr val="accent2"/>
            </a:solidFill>
            <a:ln>
              <a:noFill/>
            </a:ln>
            <a:effectLst/>
          </c:spPr>
          <c:invertIfNegative val="false"/>
          <c:dLbls>
            <c:delete val="true"/>
          </c:dLbls>
          <c:cat>
            <c:numRef>
              <c:f>'[2021年统计公报（图表）.xlsx]Sheet1'!$A$146:$A$150</c:f>
              <c:numCache>
                <c:formatCode>General</c:formatCode>
                <c:ptCount val="5"/>
                <c:pt idx="0">
                  <c:v>2017</c:v>
                </c:pt>
                <c:pt idx="1">
                  <c:v>2018</c:v>
                </c:pt>
                <c:pt idx="2">
                  <c:v>2019</c:v>
                </c:pt>
                <c:pt idx="3">
                  <c:v>2020</c:v>
                </c:pt>
                <c:pt idx="4">
                  <c:v>2021</c:v>
                </c:pt>
              </c:numCache>
            </c:numRef>
          </c:cat>
          <c:val>
            <c:numRef>
              <c:f>'[2021年统计公报（图表）.xlsx]Sheet1'!$B$146:$B$150</c:f>
              <c:numCache>
                <c:formatCode>0.0_ </c:formatCode>
                <c:ptCount val="5"/>
                <c:pt idx="0">
                  <c:v>5.0179</c:v>
                </c:pt>
                <c:pt idx="1">
                  <c:v>7.3531</c:v>
                </c:pt>
                <c:pt idx="2">
                  <c:v>8.3858</c:v>
                </c:pt>
                <c:pt idx="3">
                  <c:v>8.856</c:v>
                </c:pt>
                <c:pt idx="4">
                  <c:v>10.1378</c:v>
                </c:pt>
              </c:numCache>
            </c:numRef>
          </c:val>
        </c:ser>
        <c:dLbls>
          <c:showLegendKey val="false"/>
          <c:showVal val="false"/>
          <c:showCatName val="false"/>
          <c:showSerName val="false"/>
          <c:showPercent val="false"/>
          <c:showBubbleSize val="false"/>
        </c:dLbls>
        <c:gapWidth val="219"/>
        <c:overlap val="-27"/>
        <c:axId val="617009024"/>
        <c:axId val="127959882"/>
      </c:barChart>
      <c:lineChart>
        <c:grouping val="standard"/>
        <c:varyColors val="false"/>
        <c:ser>
          <c:idx val="1"/>
          <c:order val="1"/>
          <c:tx>
            <c:strRef>
              <c:f>'[2021年统计公报（图表）.xlsx]Sheet1'!$C$145</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numRef>
              <c:f>'[2021年统计公报（图表）.xlsx]Sheet1'!$A$146:$A$150</c:f>
              <c:numCache>
                <c:formatCode>General</c:formatCode>
                <c:ptCount val="5"/>
                <c:pt idx="0">
                  <c:v>2017</c:v>
                </c:pt>
                <c:pt idx="1">
                  <c:v>2018</c:v>
                </c:pt>
                <c:pt idx="2">
                  <c:v>2019</c:v>
                </c:pt>
                <c:pt idx="3">
                  <c:v>2020</c:v>
                </c:pt>
                <c:pt idx="4">
                  <c:v>2021</c:v>
                </c:pt>
              </c:numCache>
            </c:numRef>
          </c:cat>
          <c:val>
            <c:numRef>
              <c:f>'[2021年统计公报（图表）.xlsx]Sheet1'!$C$146:$C$150</c:f>
              <c:numCache>
                <c:formatCode>0.0_ </c:formatCode>
                <c:ptCount val="5"/>
                <c:pt idx="0">
                  <c:v>16</c:v>
                </c:pt>
                <c:pt idx="1">
                  <c:v>12</c:v>
                </c:pt>
                <c:pt idx="2">
                  <c:v>14</c:v>
                </c:pt>
                <c:pt idx="3">
                  <c:v>5.6</c:v>
                </c:pt>
                <c:pt idx="4">
                  <c:v>15.6</c:v>
                </c:pt>
              </c:numCache>
            </c:numRef>
          </c:val>
          <c:smooth val="false"/>
        </c:ser>
        <c:dLbls>
          <c:showLegendKey val="false"/>
          <c:showVal val="false"/>
          <c:showCatName val="false"/>
          <c:showSerName val="false"/>
          <c:showPercent val="false"/>
          <c:showBubbleSize val="false"/>
        </c:dLbls>
        <c:marker val="true"/>
        <c:smooth val="false"/>
        <c:axId val="866502174"/>
        <c:axId val="507380944"/>
      </c:lineChart>
      <c:catAx>
        <c:axId val="617009024"/>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a:solidFill>
                      <a:schemeClr val="tx1"/>
                    </a:solidFill>
                  </a:rPr>
                  <a:t>亿元</a:t>
                </a:r>
                <a:endParaRPr>
                  <a:solidFill>
                    <a:schemeClr val="tx1"/>
                  </a:solidFill>
                </a:endParaRPr>
              </a:p>
            </c:rich>
          </c:tx>
          <c:layout>
            <c:manualLayout>
              <c:xMode val="edge"/>
              <c:yMode val="edge"/>
              <c:x val="0.00595031773541306"/>
              <c:y val="0.146376811594203"/>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127959882"/>
        <c:crosses val="autoZero"/>
        <c:auto val="true"/>
        <c:lblAlgn val="ctr"/>
        <c:lblOffset val="100"/>
        <c:noMultiLvlLbl val="false"/>
      </c:catAx>
      <c:valAx>
        <c:axId val="127959882"/>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617009024"/>
        <c:crosses val="autoZero"/>
        <c:crossBetween val="between"/>
      </c:valAx>
      <c:catAx>
        <c:axId val="866502174"/>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lang="en-US" altLang="zh-CN">
                    <a:solidFill>
                      <a:schemeClr val="tx1"/>
                    </a:solidFill>
                  </a:rPr>
                  <a:t>%</a:t>
                </a:r>
                <a:endParaRPr lang="en-US" altLang="zh-CN">
                  <a:solidFill>
                    <a:schemeClr val="tx1"/>
                  </a:solidFill>
                </a:endParaRPr>
              </a:p>
            </c:rich>
          </c:tx>
          <c:layout>
            <c:manualLayout>
              <c:xMode val="edge"/>
              <c:yMode val="edge"/>
              <c:x val="0.949740034662045"/>
              <c:y val="0.142270531400966"/>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507380944"/>
        <c:crosses val="autoZero"/>
        <c:auto val="true"/>
        <c:lblAlgn val="ctr"/>
        <c:lblOffset val="100"/>
        <c:noMultiLvlLbl val="false"/>
      </c:catAx>
      <c:valAx>
        <c:axId val="507380944"/>
        <c:scaling>
          <c:orientation val="minMax"/>
        </c:scaling>
        <c:delete val="false"/>
        <c:axPos val="r"/>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866502174"/>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11  2017-2021</a:t>
            </a:r>
            <a:r>
              <a:rPr altLang="en-US">
                <a:solidFill>
                  <a:schemeClr val="tx1"/>
                </a:solidFill>
              </a:rPr>
              <a:t>年中站区居民人均可支配收入及其增长速度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836933797909408"/>
          <c:y val="0.252233676975945"/>
          <c:w val="0.864320557491289"/>
          <c:h val="0.541672394043528"/>
        </c:manualLayout>
      </c:layout>
      <c:barChart>
        <c:barDir val="col"/>
        <c:grouping val="clustered"/>
        <c:varyColors val="false"/>
        <c:ser>
          <c:idx val="0"/>
          <c:order val="0"/>
          <c:tx>
            <c:strRef>
              <c:f>'[2021年统计公报（图表）.xlsx]Sheet1'!$B$145</c:f>
              <c:strCache>
                <c:ptCount val="1"/>
                <c:pt idx="0">
                  <c:v>居民人均可支配收入</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'[2021年统计公报（图表）.xlsx]Sheet1'!$A$146:$A$150</c:f>
              <c:numCache>
                <c:formatCode>General</c:formatCode>
                <c:ptCount val="5"/>
                <c:pt idx="0">
                  <c:v>2017</c:v>
                </c:pt>
                <c:pt idx="1">
                  <c:v>2018</c:v>
                </c:pt>
                <c:pt idx="2">
                  <c:v>2019</c:v>
                </c:pt>
                <c:pt idx="3">
                  <c:v>2020</c:v>
                </c:pt>
                <c:pt idx="4">
                  <c:v>2021</c:v>
                </c:pt>
              </c:numCache>
            </c:numRef>
          </c:cat>
          <c:val>
            <c:numRef>
              <c:f>'[2021年统计公报（图表）.xlsx]Sheet1'!$B$146:$B$150</c:f>
              <c:numCache>
                <c:formatCode>0_ </c:formatCode>
                <c:ptCount val="5"/>
                <c:pt idx="0">
                  <c:v>21097</c:v>
                </c:pt>
                <c:pt idx="1">
                  <c:v>23574</c:v>
                </c:pt>
                <c:pt idx="2">
                  <c:v>25671</c:v>
                </c:pt>
                <c:pt idx="3">
                  <c:v>26509</c:v>
                </c:pt>
                <c:pt idx="4">
                  <c:v>28645</c:v>
                </c:pt>
              </c:numCache>
            </c:numRef>
          </c:val>
        </c:ser>
        <c:dLbls>
          <c:showLegendKey val="false"/>
          <c:showVal val="true"/>
          <c:showCatName val="false"/>
          <c:showSerName val="false"/>
          <c:showPercent val="false"/>
          <c:showBubbleSize val="false"/>
        </c:dLbls>
        <c:gapWidth val="219"/>
        <c:overlap val="-27"/>
        <c:axId val="623554171"/>
        <c:axId val="489731854"/>
      </c:barChart>
      <c:lineChart>
        <c:grouping val="standard"/>
        <c:varyColors val="false"/>
        <c:ser>
          <c:idx val="1"/>
          <c:order val="1"/>
          <c:tx>
            <c:strRef>
              <c:f>'[2021年统计公报（图表）.xlsx]Sheet1'!$C$145</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'[2021年统计公报（图表）.xlsx]Sheet1'!$A$146:$A$150</c:f>
              <c:numCache>
                <c:formatCode>General</c:formatCode>
                <c:ptCount val="5"/>
                <c:pt idx="0">
                  <c:v>2017</c:v>
                </c:pt>
                <c:pt idx="1">
                  <c:v>2018</c:v>
                </c:pt>
                <c:pt idx="2">
                  <c:v>2019</c:v>
                </c:pt>
                <c:pt idx="3">
                  <c:v>2020</c:v>
                </c:pt>
                <c:pt idx="4">
                  <c:v>2021</c:v>
                </c:pt>
              </c:numCache>
            </c:numRef>
          </c:cat>
          <c:val>
            <c:numRef>
              <c:f>'[2021年统计公报（图表）.xlsx]Sheet1'!$C$146:$C$150</c:f>
              <c:numCache>
                <c:formatCode>General</c:formatCode>
                <c:ptCount val="5"/>
                <c:pt idx="0">
                  <c:v>10.1</c:v>
                </c:pt>
                <c:pt idx="1">
                  <c:v>7.9</c:v>
                </c:pt>
                <c:pt idx="2">
                  <c:v>8.9</c:v>
                </c:pt>
                <c:pt idx="3">
                  <c:v>3.3</c:v>
                </c:pt>
                <c:pt idx="4">
                  <c:v>8.1</c:v>
                </c:pt>
              </c:numCache>
            </c:numRef>
          </c:val>
          <c:smooth val="false"/>
        </c:ser>
        <c:dLbls>
          <c:showLegendKey val="false"/>
          <c:showVal val="true"/>
          <c:showCatName val="false"/>
          <c:showSerName val="false"/>
          <c:showPercent val="false"/>
          <c:showBubbleSize val="false"/>
        </c:dLbls>
        <c:marker val="true"/>
        <c:smooth val="false"/>
        <c:axId val="784498364"/>
        <c:axId val="877297046"/>
      </c:lineChart>
      <c:catAx>
        <c:axId val="623554171"/>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元</a:t>
                </a:r>
              </a:p>
            </c:rich>
          </c:tx>
          <c:layout>
            <c:manualLayout>
              <c:xMode val="edge"/>
              <c:yMode val="edge"/>
              <c:x val="0.0264583333333333"/>
              <c:y val="0.11944444444444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9731854"/>
        <c:crosses val="autoZero"/>
        <c:auto val="true"/>
        <c:lblAlgn val="ctr"/>
        <c:lblOffset val="100"/>
        <c:noMultiLvlLbl val="false"/>
      </c:catAx>
      <c:valAx>
        <c:axId val="489731854"/>
        <c:scaling>
          <c:orientation val="minMax"/>
        </c:scaling>
        <c:delete val="false"/>
        <c:axPos val="l"/>
        <c:majorGridlines>
          <c:spPr>
            <a:ln w="9525" cap="flat" cmpd="sng" algn="ctr">
              <a:solidFill>
                <a:schemeClr val="tx1">
                  <a:lumMod val="15000"/>
                  <a:lumOff val="85000"/>
                </a:schemeClr>
              </a:solidFill>
              <a:round/>
            </a:ln>
            <a:effectLst/>
          </c:spPr>
        </c:majorGridlines>
        <c:numFmt formatCode="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3554171"/>
        <c:crosses val="autoZero"/>
        <c:crossBetween val="between"/>
      </c:valAx>
      <c:catAx>
        <c:axId val="784498364"/>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7083333333333"/>
              <c:y val="0.108564814814815"/>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7297046"/>
        <c:crosses val="autoZero"/>
        <c:auto val="true"/>
        <c:lblAlgn val="ctr"/>
        <c:lblOffset val="100"/>
        <c:noMultiLvlLbl val="false"/>
      </c:catAx>
      <c:valAx>
        <c:axId val="877297046"/>
        <c:scaling>
          <c:orientation val="minMax"/>
        </c:scaling>
        <c:delete val="false"/>
        <c:axPos val="r"/>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4498364"/>
        <c:crosses val="max"/>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2  2017-2021</a:t>
            </a:r>
            <a:r>
              <a:rPr altLang="en-US">
                <a:solidFill>
                  <a:schemeClr val="tx1"/>
                </a:solidFill>
              </a:rPr>
              <a:t>年中站区三次产业增加值占地区生产总值比重</a:t>
            </a:r>
            <a:endParaRPr altLang="en-US">
              <a:solidFill>
                <a:schemeClr val="tx1"/>
              </a:solidFill>
            </a:endParaRPr>
          </a:p>
        </c:rich>
      </c:tx>
      <c:layout>
        <c:manualLayout>
          <c:xMode val="edge"/>
          <c:yMode val="edge"/>
          <c:x val="0.110429313335317"/>
          <c:y val="0.0173994421467556"/>
        </c:manualLayout>
      </c:layout>
      <c:overlay val="false"/>
      <c:spPr>
        <a:noFill/>
        <a:ln>
          <a:noFill/>
        </a:ln>
        <a:effectLst/>
      </c:spPr>
    </c:title>
    <c:autoTitleDeleted val="false"/>
    <c:plotArea>
      <c:layout>
        <c:manualLayout>
          <c:layoutTarget val="inner"/>
          <c:xMode val="edge"/>
          <c:yMode val="edge"/>
          <c:x val="0.0692869565217391"/>
          <c:y val="0.203252032520325"/>
          <c:w val="0.876684057971014"/>
          <c:h val="0.602648083623693"/>
        </c:manualLayout>
      </c:layout>
      <c:barChart>
        <c:barDir val="col"/>
        <c:grouping val="stacked"/>
        <c:varyColors val="false"/>
        <c:ser>
          <c:idx val="0"/>
          <c:order val="0"/>
          <c:tx>
            <c:strRef>
              <c:f>'[统计公报（图表）.xlsx]Sheet1'!$B$21</c:f>
              <c:strCache>
                <c:ptCount val="1"/>
                <c:pt idx="0">
                  <c:v>第一产业</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'[统计公报（图表）.xlsx]Sheet1'!$A$22:$A$26</c:f>
              <c:numCache>
                <c:formatCode>General</c:formatCode>
                <c:ptCount val="5"/>
                <c:pt idx="0">
                  <c:v>2017</c:v>
                </c:pt>
                <c:pt idx="1">
                  <c:v>2018</c:v>
                </c:pt>
                <c:pt idx="2">
                  <c:v>2019</c:v>
                </c:pt>
                <c:pt idx="3">
                  <c:v>2020</c:v>
                </c:pt>
                <c:pt idx="4">
                  <c:v>2021</c:v>
                </c:pt>
              </c:numCache>
            </c:numRef>
          </c:cat>
          <c:val>
            <c:numRef>
              <c:f>'[统计公报（图表）.xlsx]Sheet1'!$B$22:$B$26</c:f>
              <c:numCache>
                <c:formatCode>General</c:formatCode>
                <c:ptCount val="5"/>
                <c:pt idx="0">
                  <c:v>0.5</c:v>
                </c:pt>
                <c:pt idx="1">
                  <c:v>0.6</c:v>
                </c:pt>
                <c:pt idx="2">
                  <c:v>0.5</c:v>
                </c:pt>
                <c:pt idx="3">
                  <c:v>0.5</c:v>
                </c:pt>
                <c:pt idx="4">
                  <c:v>0.4</c:v>
                </c:pt>
              </c:numCache>
            </c:numRef>
          </c:val>
        </c:ser>
        <c:ser>
          <c:idx val="1"/>
          <c:order val="1"/>
          <c:tx>
            <c:strRef>
              <c:f>'[统计公报（图表）.xlsx]Sheet1'!$C$21</c:f>
              <c:strCache>
                <c:ptCount val="1"/>
                <c:pt idx="0">
                  <c:v>第二产业</c:v>
                </c:pt>
              </c:strCache>
            </c:strRef>
          </c:tx>
          <c:spPr>
            <a:solidFill>
              <a:schemeClr val="accent2"/>
            </a:solidFill>
            <a:ln>
              <a:noFill/>
            </a:ln>
            <a:effectLst/>
          </c:spPr>
          <c:invertIfNegative val="false"/>
          <c:dPt>
            <c:idx val="3"/>
            <c:invertIfNegative val="false"/>
            <c:bubble3D val="false"/>
            <c:spPr>
              <a:solidFill>
                <a:schemeClr val="accent2"/>
              </a:solidFill>
              <a:ln>
                <a:solidFill>
                  <a:schemeClr val="accent2"/>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'[统计公报（图表）.xlsx]Sheet1'!$A$22:$A$26</c:f>
              <c:numCache>
                <c:formatCode>General</c:formatCode>
                <c:ptCount val="5"/>
                <c:pt idx="0">
                  <c:v>2017</c:v>
                </c:pt>
                <c:pt idx="1">
                  <c:v>2018</c:v>
                </c:pt>
                <c:pt idx="2">
                  <c:v>2019</c:v>
                </c:pt>
                <c:pt idx="3">
                  <c:v>2020</c:v>
                </c:pt>
                <c:pt idx="4">
                  <c:v>2021</c:v>
                </c:pt>
              </c:numCache>
            </c:numRef>
          </c:cat>
          <c:val>
            <c:numRef>
              <c:f>'[统计公报（图表）.xlsx]Sheet1'!$C$22:$C$26</c:f>
              <c:numCache>
                <c:formatCode>General</c:formatCode>
                <c:ptCount val="5"/>
                <c:pt idx="0">
                  <c:v>70.8</c:v>
                </c:pt>
                <c:pt idx="1">
                  <c:v>69.8</c:v>
                </c:pt>
                <c:pt idx="2">
                  <c:v>70.4</c:v>
                </c:pt>
                <c:pt idx="3">
                  <c:v>73.6</c:v>
                </c:pt>
                <c:pt idx="4">
                  <c:v>74.2</c:v>
                </c:pt>
              </c:numCache>
            </c:numRef>
          </c:val>
        </c:ser>
        <c:ser>
          <c:idx val="2"/>
          <c:order val="2"/>
          <c:tx>
            <c:strRef>
              <c:f>'[统计公报（图表）.xlsx]Sheet1'!$D$21</c:f>
              <c:strCache>
                <c:ptCount val="1"/>
                <c:pt idx="0">
                  <c:v>第三产业</c:v>
                </c:pt>
              </c:strCache>
            </c:strRef>
          </c:tx>
          <c:spPr>
            <a:solidFill>
              <a:schemeClr val="accent4">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'[统计公报（图表）.xlsx]Sheet1'!$A$22:$A$26</c:f>
              <c:numCache>
                <c:formatCode>General</c:formatCode>
                <c:ptCount val="5"/>
                <c:pt idx="0">
                  <c:v>2017</c:v>
                </c:pt>
                <c:pt idx="1">
                  <c:v>2018</c:v>
                </c:pt>
                <c:pt idx="2">
                  <c:v>2019</c:v>
                </c:pt>
                <c:pt idx="3">
                  <c:v>2020</c:v>
                </c:pt>
                <c:pt idx="4">
                  <c:v>2021</c:v>
                </c:pt>
              </c:numCache>
            </c:numRef>
          </c:cat>
          <c:val>
            <c:numRef>
              <c:f>'[统计公报（图表）.xlsx]Sheet1'!$D$22:$D$26</c:f>
              <c:numCache>
                <c:formatCode>General</c:formatCode>
                <c:ptCount val="5"/>
                <c:pt idx="0">
                  <c:v>28.7</c:v>
                </c:pt>
                <c:pt idx="1">
                  <c:v>29.6</c:v>
                </c:pt>
                <c:pt idx="2">
                  <c:v>29.1</c:v>
                </c:pt>
                <c:pt idx="3">
                  <c:v>25.9</c:v>
                </c:pt>
                <c:pt idx="4">
                  <c:v>25.4</c:v>
                </c:pt>
              </c:numCache>
            </c:numRef>
          </c:val>
        </c:ser>
        <c:dLbls>
          <c:showLegendKey val="false"/>
          <c:showVal val="true"/>
          <c:showCatName val="false"/>
          <c:showSerName val="false"/>
          <c:showPercent val="false"/>
          <c:showBubbleSize val="false"/>
        </c:dLbls>
        <c:gapWidth val="150"/>
        <c:overlap val="100"/>
        <c:axId val="657398009"/>
        <c:axId val="694465143"/>
      </c:barChart>
      <c:catAx>
        <c:axId val="657398009"/>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lang="en-US" altLang="zh-CN"/>
                  <a:t>%</a:t>
                </a:r>
                <a:endParaRPr lang="en-US" altLang="zh-CN"/>
              </a:p>
            </c:rich>
          </c:tx>
          <c:layout>
            <c:manualLayout>
              <c:xMode val="edge"/>
              <c:yMode val="edge"/>
              <c:x val="0.0232811594202899"/>
              <c:y val="0.0866434378629501"/>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694465143"/>
        <c:crosses val="autoZero"/>
        <c:auto val="true"/>
        <c:lblAlgn val="ctr"/>
        <c:lblOffset val="100"/>
        <c:noMultiLvlLbl val="false"/>
      </c:catAx>
      <c:valAx>
        <c:axId val="69446514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657398009"/>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manualLayout>
          <c:xMode val="edge"/>
          <c:yMode val="edge"/>
          <c:x val="0.342666666666667"/>
          <c:y val="0.89477351916376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3  2017-2021</a:t>
            </a:r>
            <a:r>
              <a:rPr altLang="en-US">
                <a:solidFill>
                  <a:schemeClr val="tx1"/>
                </a:solidFill>
              </a:rPr>
              <a:t>年中站区常住人口城镇化率</a:t>
            </a:r>
            <a:endParaRPr altLang="en-US">
              <a:solidFill>
                <a:schemeClr val="tx1"/>
              </a:solidFill>
            </a:endParaRPr>
          </a:p>
        </c:rich>
      </c:tx>
      <c:layout/>
      <c:overlay val="false"/>
      <c:spPr>
        <a:noFill/>
        <a:ln>
          <a:noFill/>
        </a:ln>
        <a:effectLst/>
      </c:spPr>
    </c:title>
    <c:autoTitleDeleted val="false"/>
    <c:plotArea>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'[统计公报（图表）.xlsx]Sheet1'!$A$38:$A$42</c:f>
              <c:numCache>
                <c:formatCode>General</c:formatCode>
                <c:ptCount val="5"/>
                <c:pt idx="0">
                  <c:v>2017</c:v>
                </c:pt>
                <c:pt idx="1">
                  <c:v>2018</c:v>
                </c:pt>
                <c:pt idx="2">
                  <c:v>2019</c:v>
                </c:pt>
                <c:pt idx="3">
                  <c:v>2020</c:v>
                </c:pt>
                <c:pt idx="4">
                  <c:v>2021</c:v>
                </c:pt>
              </c:numCache>
            </c:numRef>
          </c:cat>
          <c:val>
            <c:numRef>
              <c:f>'[统计公报（图表）.xlsx]Sheet1'!$B$38:$B$42</c:f>
              <c:numCache>
                <c:formatCode>0.00_ </c:formatCode>
                <c:ptCount val="5"/>
                <c:pt idx="0">
                  <c:v>72.42</c:v>
                </c:pt>
                <c:pt idx="1">
                  <c:v>74.98</c:v>
                </c:pt>
                <c:pt idx="2">
                  <c:v>76.95</c:v>
                </c:pt>
                <c:pt idx="3">
                  <c:v>78.42</c:v>
                </c:pt>
                <c:pt idx="4" c:formatCode="General">
                  <c:v>78.73</c:v>
                </c:pt>
              </c:numCache>
            </c:numRef>
          </c:val>
          <c:smooth val="false"/>
        </c:ser>
        <c:dLbls>
          <c:showLegendKey val="false"/>
          <c:showVal val="true"/>
          <c:showCatName val="false"/>
          <c:showSerName val="false"/>
          <c:showPercent val="false"/>
          <c:showBubbleSize val="false"/>
        </c:dLbls>
        <c:marker val="true"/>
        <c:smooth val="false"/>
        <c:axId val="90890122"/>
        <c:axId val="896145788"/>
      </c:lineChart>
      <c:catAx>
        <c:axId val="90890122"/>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027066450567261"/>
              <c:y val="0.0577953856909811"/>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6145788"/>
        <c:crosses val="autoZero"/>
        <c:auto val="true"/>
        <c:lblAlgn val="ctr"/>
        <c:lblOffset val="100"/>
        <c:noMultiLvlLbl val="false"/>
      </c:catAx>
      <c:valAx>
        <c:axId val="896145788"/>
        <c:scaling>
          <c:orientation val="minMax"/>
        </c:scaling>
        <c:delete val="false"/>
        <c:axPos val="l"/>
        <c:majorGridlines>
          <c:spPr>
            <a:ln w="9525" cap="flat" cmpd="sng" algn="ctr">
              <a:solidFill>
                <a:schemeClr val="tx1">
                  <a:lumMod val="15000"/>
                  <a:lumOff val="85000"/>
                </a:schemeClr>
              </a:solidFill>
              <a:round/>
            </a:ln>
            <a:effectLst/>
          </c:spPr>
        </c:majorGridlines>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89012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4  2017-2021</a:t>
            </a:r>
            <a:r>
              <a:rPr altLang="en-US">
                <a:solidFill>
                  <a:schemeClr val="tx1"/>
                </a:solidFill>
              </a:rPr>
              <a:t>年中站区城镇新增就业人数</a:t>
            </a:r>
            <a:r>
              <a:rPr lang="en-US" altLang="zh-CN">
                <a:solidFill>
                  <a:schemeClr val="tx1"/>
                </a:solidFill>
              </a:rPr>
              <a:t>  </a:t>
            </a:r>
            <a:endParaRPr lang="en-US" altLang="zh-CN">
              <a:solidFill>
                <a:schemeClr val="tx1"/>
              </a:solidFill>
            </a:endParaRPr>
          </a:p>
        </c:rich>
      </c:tx>
      <c:layout/>
      <c:overlay val="false"/>
      <c:spPr>
        <a:noFill/>
        <a:ln>
          <a:noFill/>
        </a:ln>
        <a:effectLst/>
      </c:spPr>
    </c:title>
    <c:autoTitleDeleted val="false"/>
    <c:plotArea>
      <c:layout>
        <c:manualLayout>
          <c:layoutTarget val="inner"/>
          <c:xMode val="edge"/>
          <c:yMode val="edge"/>
          <c:x val="0.0733885068189766"/>
          <c:y val="0.175084175084175"/>
          <c:w val="0.900967478727124"/>
          <c:h val="0.701459034792368"/>
        </c:manualLayout>
      </c:layout>
      <c:barChart>
        <c:barDir val="col"/>
        <c:grouping val="clustered"/>
        <c:varyColors val="false"/>
        <c:ser>
          <c:idx val="1"/>
          <c:order val="0"/>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'[2021年统计公报（图表）.xlsx]Sheet1'!$A$56:$A$60</c:f>
              <c:numCache>
                <c:formatCode>General</c:formatCode>
                <c:ptCount val="5"/>
                <c:pt idx="0">
                  <c:v>2017</c:v>
                </c:pt>
                <c:pt idx="1">
                  <c:v>2018</c:v>
                </c:pt>
                <c:pt idx="2">
                  <c:v>2019</c:v>
                </c:pt>
                <c:pt idx="3">
                  <c:v>2020</c:v>
                </c:pt>
                <c:pt idx="4">
                  <c:v>2021</c:v>
                </c:pt>
              </c:numCache>
            </c:numRef>
          </c:cat>
          <c:val>
            <c:numRef>
              <c:f>'[2021年统计公报（图表）.xlsx]Sheet1'!$B$56:$B$60</c:f>
              <c:numCache>
                <c:formatCode>General</c:formatCode>
                <c:ptCount val="5"/>
                <c:pt idx="0">
                  <c:v>4304</c:v>
                </c:pt>
                <c:pt idx="1">
                  <c:v>4337</c:v>
                </c:pt>
                <c:pt idx="2">
                  <c:v>4127</c:v>
                </c:pt>
                <c:pt idx="3">
                  <c:v>4311</c:v>
                </c:pt>
                <c:pt idx="4">
                  <c:v>3756</c:v>
                </c:pt>
              </c:numCache>
            </c:numRef>
          </c:val>
        </c:ser>
        <c:dLbls>
          <c:showLegendKey val="false"/>
          <c:showVal val="true"/>
          <c:showCatName val="false"/>
          <c:showSerName val="false"/>
          <c:showPercent val="false"/>
          <c:showBubbleSize val="false"/>
        </c:dLbls>
        <c:gapWidth val="219"/>
        <c:overlap val="-27"/>
        <c:axId val="204415859"/>
        <c:axId val="726736916"/>
      </c:barChart>
      <c:catAx>
        <c:axId val="204415859"/>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    </a:t>
                </a:r>
                <a:r>
                  <a:t>人</a:t>
                </a:r>
              </a:p>
            </c:rich>
          </c:tx>
          <c:layout>
            <c:manualLayout>
              <c:xMode val="edge"/>
              <c:yMode val="edge"/>
              <c:x val="0.00349691106189533"/>
              <c:y val="0.0648709315375982"/>
            </c:manualLayout>
          </c:layout>
          <c:overlay val="false"/>
          <c:spPr>
            <a:noFill/>
            <a:ln>
              <a:noFill/>
            </a:ln>
            <a:effectLst/>
          </c:spPr>
        </c:title>
        <c:numFmt formatCode="General" sourceLinked="fals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6736916"/>
        <c:crosses val="autoZero"/>
        <c:auto val="true"/>
        <c:lblAlgn val="ctr"/>
        <c:lblOffset val="100"/>
        <c:noMultiLvlLbl val="false"/>
      </c:catAx>
      <c:valAx>
        <c:axId val="72673691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441585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5  2017-2021</a:t>
            </a:r>
            <a:r>
              <a:rPr altLang="en-US">
                <a:solidFill>
                  <a:schemeClr val="tx1"/>
                </a:solidFill>
              </a:rPr>
              <a:t>年中站区粮食产量</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834027777777778"/>
          <c:y val="0.171140939597315"/>
          <c:w val="0.891134259259259"/>
          <c:h val="0.714854586129754"/>
        </c:manualLayout>
      </c:layout>
      <c:barChart>
        <c:barDir val="col"/>
        <c:grouping val="clustered"/>
        <c:varyColors val="false"/>
        <c:ser>
          <c:idx val="0"/>
          <c:order val="0"/>
          <c:spPr>
            <a:solidFill>
              <a:schemeClr val="accent1"/>
            </a:solidFill>
            <a:ln>
              <a:noFill/>
            </a:ln>
            <a:effectLst/>
          </c:spPr>
          <c:invertIfNegative val="false"/>
          <c:dPt>
            <c:idx val="0"/>
            <c:invertIfNegative val="false"/>
            <c:bubble3D val="false"/>
            <c:spPr>
              <a:solidFill>
                <a:schemeClr val="accent2"/>
              </a:solidFill>
              <a:ln>
                <a:noFill/>
              </a:ln>
              <a:effectLst/>
            </c:spPr>
          </c:dPt>
          <c:dPt>
            <c:idx val="1"/>
            <c:invertIfNegative val="false"/>
            <c:bubble3D val="false"/>
            <c:spPr>
              <a:solidFill>
                <a:schemeClr val="accent2"/>
              </a:solidFill>
              <a:ln>
                <a:noFill/>
              </a:ln>
              <a:effectLst/>
            </c:spPr>
          </c:dPt>
          <c:dPt>
            <c:idx val="2"/>
            <c:invertIfNegative val="false"/>
            <c:bubble3D val="false"/>
            <c:spPr>
              <a:solidFill>
                <a:schemeClr val="accent2"/>
              </a:solidFill>
              <a:ln>
                <a:noFill/>
              </a:ln>
              <a:effectLst/>
            </c:spPr>
          </c:dPt>
          <c:dPt>
            <c:idx val="3"/>
            <c:invertIfNegative val="false"/>
            <c:bubble3D val="false"/>
            <c:spPr>
              <a:solidFill>
                <a:schemeClr val="accent2"/>
              </a:solidFill>
              <a:ln>
                <a:noFill/>
              </a:ln>
              <a:effectLst/>
            </c:spPr>
          </c:dPt>
          <c:dPt>
            <c:idx val="4"/>
            <c:invertIfNegative val="false"/>
            <c:bubble3D val="false"/>
            <c:spPr>
              <a:solidFill>
                <a:schemeClr val="accent2"/>
              </a:solidFill>
              <a:ln>
                <a:noFill/>
              </a:ln>
              <a:effectLst/>
            </c:spPr>
          </c:dPt>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2"/>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3"/>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4"/>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'[2021年统计公报（图表）.xlsx]Sheet1'!$A$75:$A$79</c:f>
              <c:numCache>
                <c:formatCode>General</c:formatCode>
                <c:ptCount val="5"/>
                <c:pt idx="0">
                  <c:v>2017</c:v>
                </c:pt>
                <c:pt idx="1">
                  <c:v>2018</c:v>
                </c:pt>
                <c:pt idx="2">
                  <c:v>2019</c:v>
                </c:pt>
                <c:pt idx="3">
                  <c:v>2020</c:v>
                </c:pt>
                <c:pt idx="4">
                  <c:v>2021</c:v>
                </c:pt>
              </c:numCache>
            </c:numRef>
          </c:cat>
          <c:val>
            <c:numRef>
              <c:f>'[2021年统计公报（图表）.xlsx]Sheet1'!$B$75:$B$79</c:f>
              <c:numCache>
                <c:formatCode>General</c:formatCode>
                <c:ptCount val="5"/>
                <c:pt idx="0">
                  <c:v>9258</c:v>
                </c:pt>
                <c:pt idx="1">
                  <c:v>8243</c:v>
                </c:pt>
                <c:pt idx="2">
                  <c:v>6684</c:v>
                </c:pt>
                <c:pt idx="3">
                  <c:v>6892</c:v>
                </c:pt>
                <c:pt idx="4">
                  <c:v>4777</c:v>
                </c:pt>
              </c:numCache>
            </c:numRef>
          </c:val>
        </c:ser>
        <c:dLbls>
          <c:showLegendKey val="false"/>
          <c:showVal val="false"/>
          <c:showCatName val="false"/>
          <c:showSerName val="false"/>
          <c:showPercent val="false"/>
          <c:showBubbleSize val="false"/>
        </c:dLbls>
        <c:gapWidth val="219"/>
        <c:overlap val="-27"/>
        <c:axId val="556146806"/>
        <c:axId val="809167357"/>
      </c:barChart>
      <c:catAx>
        <c:axId val="556146806"/>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吨</a:t>
                </a:r>
              </a:p>
            </c:rich>
          </c:tx>
          <c:layout>
            <c:manualLayout>
              <c:xMode val="edge"/>
              <c:yMode val="edge"/>
              <c:x val="0.0228356481481481"/>
              <c:y val="0.04899328859060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167357"/>
        <c:crosses val="autoZero"/>
        <c:auto val="true"/>
        <c:lblAlgn val="ctr"/>
        <c:lblOffset val="100"/>
        <c:noMultiLvlLbl val="false"/>
      </c:catAx>
      <c:valAx>
        <c:axId val="80916735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614680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6  2017-2021</a:t>
            </a:r>
            <a:r>
              <a:rPr altLang="en-US">
                <a:solidFill>
                  <a:schemeClr val="tx1"/>
                </a:solidFill>
              </a:rPr>
              <a:t>年中站区规模以上工业增加值增长速度</a:t>
            </a:r>
            <a:r>
              <a:rPr lang="en-US" altLang="zh-CN">
                <a:solidFill>
                  <a:schemeClr val="tx1"/>
                </a:solidFill>
              </a:rPr>
              <a:t>  </a:t>
            </a:r>
            <a:endParaRPr lang="en-US" altLang="zh-CN">
              <a:solidFill>
                <a:schemeClr val="tx1"/>
              </a:solidFill>
            </a:endParaRPr>
          </a:p>
        </c:rich>
      </c:tx>
      <c:layout/>
      <c:overlay val="false"/>
      <c:spPr>
        <a:noFill/>
        <a:ln>
          <a:noFill/>
        </a:ln>
        <a:effectLst/>
      </c:spPr>
    </c:title>
    <c:autoTitleDeleted val="false"/>
    <c:plotArea>
      <c:layout>
        <c:manualLayout>
          <c:layoutTarget val="inner"/>
          <c:xMode val="edge"/>
          <c:yMode val="edge"/>
          <c:x val="0.0788465974625144"/>
          <c:y val="0.181818181818182"/>
          <c:w val="0.900968858131488"/>
          <c:h val="0.700932400932401"/>
        </c:manualLayout>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'[2021年统计公报（图表）.xlsx]Sheet1'!$A$92:$A$96</c:f>
              <c:numCache>
                <c:formatCode>General</c:formatCode>
                <c:ptCount val="5"/>
                <c:pt idx="0">
                  <c:v>2017</c:v>
                </c:pt>
                <c:pt idx="1">
                  <c:v>2018</c:v>
                </c:pt>
                <c:pt idx="2">
                  <c:v>2019</c:v>
                </c:pt>
                <c:pt idx="3">
                  <c:v>2020</c:v>
                </c:pt>
                <c:pt idx="4">
                  <c:v>2021</c:v>
                </c:pt>
              </c:numCache>
            </c:numRef>
          </c:cat>
          <c:val>
            <c:numRef>
              <c:f>'[2021年统计公报（图表）.xlsx]Sheet1'!$B$92:$B$96</c:f>
              <c:numCache>
                <c:formatCode>0.0_ </c:formatCode>
                <c:ptCount val="5"/>
                <c:pt idx="0">
                  <c:v>10.5</c:v>
                </c:pt>
                <c:pt idx="1">
                  <c:v>9.5</c:v>
                </c:pt>
                <c:pt idx="2">
                  <c:v>9</c:v>
                </c:pt>
                <c:pt idx="3">
                  <c:v>-19.7</c:v>
                </c:pt>
                <c:pt idx="4">
                  <c:v>8.5</c:v>
                </c:pt>
              </c:numCache>
            </c:numRef>
          </c:val>
          <c:smooth val="false"/>
        </c:ser>
        <c:dLbls>
          <c:showLegendKey val="false"/>
          <c:showVal val="true"/>
          <c:showCatName val="false"/>
          <c:showSerName val="false"/>
          <c:showPercent val="false"/>
          <c:showBubbleSize val="false"/>
        </c:dLbls>
        <c:marker val="true"/>
        <c:smooth val="false"/>
        <c:axId val="994150767"/>
        <c:axId val="854222329"/>
      </c:lineChart>
      <c:catAx>
        <c:axId val="994150767"/>
        <c:scaling>
          <c:orientation val="minMax"/>
        </c:scaling>
        <c:delete val="false"/>
        <c:axPos val="b"/>
        <c:majorTickMark val="out"/>
        <c:minorTickMark val="none"/>
        <c:tickLblPos val="low"/>
        <c:spPr>
          <a:noFill/>
          <a:ln w="9525" cap="flat" cmpd="sng" algn="ctr">
            <a:solidFill>
              <a:schemeClr val="tx1">
                <a:lumMod val="15000"/>
                <a:lumOff val="85000"/>
              </a:schemeClr>
            </a:solidFill>
            <a:round/>
          </a:ln>
          <a:effectLst/>
        </c:spPr>
        <c:txPr>
          <a:bodyPr rot="0" spcFirstLastPara="0" vertOverflow="ellipsis" vert="horz" wrap="square" anchor="b" anchorCtr="true"/>
          <a:lstStyle/>
          <a:p>
            <a:pPr>
              <a:defRPr lang="zh-CN" sz="900" b="0" i="0" u="none" strike="noStrike" kern="1200" baseline="0">
                <a:solidFill>
                  <a:schemeClr val="tx1"/>
                </a:solidFill>
                <a:latin typeface="+mn-lt"/>
                <a:ea typeface="+mn-ea"/>
                <a:cs typeface="+mn-cs"/>
              </a:defRPr>
            </a:pPr>
          </a:p>
        </c:txPr>
        <c:crossAx val="854222329"/>
        <c:crosses val="autoZero"/>
        <c:auto val="true"/>
        <c:lblAlgn val="ctr"/>
        <c:lblOffset val="100"/>
        <c:noMultiLvlLbl val="false"/>
      </c:catAx>
      <c:valAx>
        <c:axId val="854222329"/>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9941507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7  2017-2021</a:t>
            </a:r>
            <a:r>
              <a:rPr altLang="en-US">
                <a:solidFill>
                  <a:schemeClr val="tx1"/>
                </a:solidFill>
              </a:rPr>
              <a:t>年中站区固定资产投资增长速度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677816492450639"/>
          <c:y val="0.177700348432056"/>
          <c:w val="0.906666666666667"/>
          <c:h val="0.71205574912892"/>
        </c:manualLayout>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'[2021年统计公报（图表）.xlsx]Sheet1'!$A$95:$A$99</c:f>
              <c:numCache>
                <c:formatCode>General</c:formatCode>
                <c:ptCount val="5"/>
                <c:pt idx="0">
                  <c:v>2017</c:v>
                </c:pt>
                <c:pt idx="1">
                  <c:v>2018</c:v>
                </c:pt>
                <c:pt idx="2">
                  <c:v>2019</c:v>
                </c:pt>
                <c:pt idx="3">
                  <c:v>2020</c:v>
                </c:pt>
                <c:pt idx="4">
                  <c:v>2021</c:v>
                </c:pt>
              </c:numCache>
            </c:numRef>
          </c:cat>
          <c:val>
            <c:numRef>
              <c:f>'[2021年统计公报（图表）.xlsx]Sheet1'!$B$95:$B$99</c:f>
              <c:numCache>
                <c:formatCode>0.0_ </c:formatCode>
                <c:ptCount val="5"/>
                <c:pt idx="0">
                  <c:v>12.1</c:v>
                </c:pt>
                <c:pt idx="1">
                  <c:v>39.4</c:v>
                </c:pt>
                <c:pt idx="2">
                  <c:v>12.9</c:v>
                </c:pt>
                <c:pt idx="3">
                  <c:v>4.9</c:v>
                </c:pt>
                <c:pt idx="4">
                  <c:v>14.8</c:v>
                </c:pt>
              </c:numCache>
            </c:numRef>
          </c:val>
          <c:smooth val="false"/>
        </c:ser>
        <c:dLbls>
          <c:showLegendKey val="false"/>
          <c:showVal val="true"/>
          <c:showCatName val="false"/>
          <c:showSerName val="false"/>
          <c:showPercent val="false"/>
          <c:showBubbleSize val="false"/>
        </c:dLbls>
        <c:marker val="true"/>
        <c:smooth val="false"/>
        <c:axId val="964358121"/>
        <c:axId val="770465730"/>
      </c:lineChart>
      <c:catAx>
        <c:axId val="964358121"/>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0202439024390244"/>
              <c:y val="0.071312427409988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0465730"/>
        <c:crosses val="autoZero"/>
        <c:auto val="true"/>
        <c:lblAlgn val="ctr"/>
        <c:lblOffset val="100"/>
        <c:noMultiLvlLbl val="false"/>
      </c:catAx>
      <c:valAx>
        <c:axId val="770465730"/>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435812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8  2021</a:t>
            </a:r>
            <a:r>
              <a:rPr altLang="en-US">
                <a:solidFill>
                  <a:schemeClr val="tx1"/>
                </a:solidFill>
              </a:rPr>
              <a:t>年中站区三次产业投资占固定资产投资比重</a:t>
            </a:r>
            <a:endParaRPr altLang="en-US">
              <a:solidFill>
                <a:schemeClr val="tx1"/>
              </a:solidFill>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4">
                  <a:lumMod val="60000"/>
                  <a:lumOff val="40000"/>
                </a:schemeClr>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第一产业0</a:t>
                    </a:r>
                    <a:r>
                      <a:rPr lang="en-US" altLang="zh-CN"/>
                      <a:t>.1</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第二产业</a:t>
                    </a:r>
                  </a:p>
                  <a:p>
                    <a:pPr defTabSz="914400">
                      <a:defRPr lang="zh-CN" sz="900" b="0" i="0" u="none" strike="noStrike" kern="1200" baseline="0">
                        <a:solidFill>
                          <a:schemeClr val="tx1"/>
                        </a:solidFill>
                        <a:latin typeface="+mn-lt"/>
                        <a:ea typeface="+mn-ea"/>
                        <a:cs typeface="+mn-cs"/>
                      </a:defRPr>
                    </a:pPr>
                    <a:r>
                      <a:rPr lang="en-US" altLang="zh-CN"/>
                      <a:t>79.0</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第三产业2</a:t>
                    </a:r>
                    <a:r>
                      <a:rPr lang="en-US" altLang="zh-CN"/>
                      <a:t>0.9</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'[2021年统计公报（图表）.xlsx]Sheet1'!$A$94:$A$96</c:f>
              <c:strCache>
                <c:ptCount val="3"/>
                <c:pt idx="0">
                  <c:v>第一产业</c:v>
                </c:pt>
                <c:pt idx="1">
                  <c:v>第二产业</c:v>
                </c:pt>
                <c:pt idx="2">
                  <c:v>第三产业</c:v>
                </c:pt>
              </c:strCache>
            </c:strRef>
          </c:cat>
          <c:val>
            <c:numRef>
              <c:f>'[2021年统计公报（图表）.xlsx]Sheet1'!$B$94:$B$96</c:f>
              <c:numCache>
                <c:formatCode>General</c:formatCode>
                <c:ptCount val="3"/>
                <c:pt idx="0">
                  <c:v>0.1</c:v>
                </c:pt>
                <c:pt idx="1">
                  <c:v>79</c:v>
                </c:pt>
                <c:pt idx="2">
                  <c:v>20.9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9  2017-2021</a:t>
            </a:r>
            <a:r>
              <a:rPr altLang="en-US">
                <a:solidFill>
                  <a:schemeClr val="tx1"/>
                </a:solidFill>
              </a:rPr>
              <a:t>年中站区社会消费品零售总额及其增长速度</a:t>
            </a:r>
            <a:endParaRPr altLang="en-US">
              <a:solidFill>
                <a:schemeClr val="tx1"/>
              </a:solidFill>
            </a:endParaRPr>
          </a:p>
        </c:rich>
      </c:tx>
      <c:layout>
        <c:manualLayout>
          <c:xMode val="edge"/>
          <c:yMode val="edge"/>
          <c:x val="0.118260869565217"/>
          <c:y val="0.00662105495475612"/>
        </c:manualLayout>
      </c:layout>
      <c:overlay val="false"/>
      <c:spPr>
        <a:noFill/>
        <a:ln>
          <a:noFill/>
        </a:ln>
        <a:effectLst/>
      </c:spPr>
    </c:title>
    <c:autoTitleDeleted val="false"/>
    <c:plotArea>
      <c:layout>
        <c:manualLayout>
          <c:layoutTarget val="inner"/>
          <c:xMode val="edge"/>
          <c:yMode val="edge"/>
          <c:x val="0.0501565217391304"/>
          <c:y val="0.184727433237696"/>
          <c:w val="0.874063768115942"/>
          <c:h val="0.639461487530346"/>
        </c:manualLayout>
      </c:layout>
      <c:barChart>
        <c:barDir val="col"/>
        <c:grouping val="clustered"/>
        <c:varyColors val="false"/>
        <c:ser>
          <c:idx val="0"/>
          <c:order val="0"/>
          <c:tx>
            <c:strRef>
              <c:f>'[2021年统计公报（图表）.xlsx]Sheet1'!$B$128</c:f>
              <c:strCache>
                <c:ptCount val="1"/>
                <c:pt idx="0">
                  <c:v>社会消费品零售总额</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'[2021年统计公报（图表）.xlsx]Sheet1'!$A$129:$A$133</c:f>
              <c:numCache>
                <c:formatCode>General</c:formatCode>
                <c:ptCount val="5"/>
                <c:pt idx="0">
                  <c:v>2017</c:v>
                </c:pt>
                <c:pt idx="1">
                  <c:v>2018</c:v>
                </c:pt>
                <c:pt idx="2">
                  <c:v>2019</c:v>
                </c:pt>
                <c:pt idx="3">
                  <c:v>2020</c:v>
                </c:pt>
                <c:pt idx="4">
                  <c:v>2021</c:v>
                </c:pt>
              </c:numCache>
            </c:numRef>
          </c:cat>
          <c:val>
            <c:numRef>
              <c:f>'[2021年统计公报（图表）.xlsx]Sheet1'!$B$129:$B$133</c:f>
              <c:numCache>
                <c:formatCode>0.0_ </c:formatCode>
                <c:ptCount val="5"/>
                <c:pt idx="0">
                  <c:v>19</c:v>
                </c:pt>
                <c:pt idx="1">
                  <c:v>28.4</c:v>
                </c:pt>
                <c:pt idx="2">
                  <c:v>31.5</c:v>
                </c:pt>
                <c:pt idx="3">
                  <c:v>28.7</c:v>
                </c:pt>
                <c:pt idx="4">
                  <c:v>30.2</c:v>
                </c:pt>
              </c:numCache>
            </c:numRef>
          </c:val>
        </c:ser>
        <c:dLbls>
          <c:showLegendKey val="false"/>
          <c:showVal val="true"/>
          <c:showCatName val="false"/>
          <c:showSerName val="false"/>
          <c:showPercent val="false"/>
          <c:showBubbleSize val="false"/>
        </c:dLbls>
        <c:gapWidth val="219"/>
        <c:overlap val="-27"/>
        <c:axId val="966923619"/>
        <c:axId val="325179251"/>
      </c:barChart>
      <c:lineChart>
        <c:grouping val="standard"/>
        <c:varyColors val="false"/>
        <c:ser>
          <c:idx val="1"/>
          <c:order val="1"/>
          <c:tx>
            <c:strRef>
              <c:f>'[2021年统计公报（图表）.xlsx]Sheet1'!$C$128</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'[2021年统计公报（图表）.xlsx]Sheet1'!$A$129:$A$133</c:f>
              <c:numCache>
                <c:formatCode>General</c:formatCode>
                <c:ptCount val="5"/>
                <c:pt idx="0">
                  <c:v>2017</c:v>
                </c:pt>
                <c:pt idx="1">
                  <c:v>2018</c:v>
                </c:pt>
                <c:pt idx="2">
                  <c:v>2019</c:v>
                </c:pt>
                <c:pt idx="3">
                  <c:v>2020</c:v>
                </c:pt>
                <c:pt idx="4">
                  <c:v>2021</c:v>
                </c:pt>
              </c:numCache>
            </c:numRef>
          </c:cat>
          <c:val>
            <c:numRef>
              <c:f>'[2021年统计公报（图表）.xlsx]Sheet1'!$C$129:$C$133</c:f>
              <c:numCache>
                <c:formatCode>General</c:formatCode>
                <c:ptCount val="5"/>
                <c:pt idx="0">
                  <c:v>12.9</c:v>
                </c:pt>
                <c:pt idx="1">
                  <c:v>11</c:v>
                </c:pt>
                <c:pt idx="2">
                  <c:v>11.1</c:v>
                </c:pt>
                <c:pt idx="3">
                  <c:v>-12.1</c:v>
                </c:pt>
                <c:pt idx="4">
                  <c:v>5.4</c:v>
                </c:pt>
              </c:numCache>
            </c:numRef>
          </c:val>
          <c:smooth val="false"/>
        </c:ser>
        <c:dLbls>
          <c:showLegendKey val="false"/>
          <c:showVal val="true"/>
          <c:showCatName val="false"/>
          <c:showSerName val="false"/>
          <c:showPercent val="false"/>
          <c:showBubbleSize val="false"/>
        </c:dLbls>
        <c:marker val="true"/>
        <c:smooth val="false"/>
        <c:axId val="545254956"/>
        <c:axId val="79100076"/>
      </c:lineChart>
      <c:catAx>
        <c:axId val="545254956"/>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亿元</a:t>
                </a:r>
              </a:p>
            </c:rich>
          </c:tx>
          <c:layout>
            <c:manualLayout>
              <c:xMode val="edge"/>
              <c:yMode val="edge"/>
              <c:x val="0.00347826086956522"/>
              <c:y val="0.0790196976637655"/>
            </c:manualLayout>
          </c:layout>
          <c:overlay val="false"/>
          <c:spPr>
            <a:noFill/>
            <a:ln>
              <a:noFill/>
            </a:ln>
            <a:effectLst/>
          </c:spPr>
        </c:title>
        <c:majorTickMark val="none"/>
        <c:minorTickMark val="none"/>
        <c:tickLblPos val="low"/>
        <c:spPr>
          <a:noFill/>
          <a:ln w="9525" cap="rnd" cmpd="sng" algn="ctr">
            <a:solidFill>
              <a:schemeClr val="tx1">
                <a:lumMod val="15000"/>
                <a:lumOff val="85000"/>
              </a:schemeClr>
            </a:solidFill>
            <a:round/>
          </a:ln>
          <a:effectLst/>
        </c:spPr>
        <c:txPr>
          <a:bodyPr rot="-60000000" spcFirstLastPara="0" vertOverflow="ellipsis" vert="horz" wrap="square" anchor="b" anchorCtr="true"/>
          <a:lstStyle/>
          <a:p>
            <a:pPr>
              <a:defRPr lang="zh-CN" sz="900" b="0" i="0" u="none" strike="noStrike" kern="1200" baseline="0">
                <a:solidFill>
                  <a:schemeClr val="tx1">
                    <a:lumMod val="65000"/>
                    <a:lumOff val="35000"/>
                  </a:schemeClr>
                </a:solidFill>
                <a:latin typeface="+mn-lt"/>
                <a:ea typeface="+mn-ea"/>
                <a:cs typeface="+mn-cs"/>
              </a:defRPr>
            </a:pPr>
          </a:p>
        </c:txPr>
        <c:crossAx val="79100076"/>
        <c:crosses val="autoZero"/>
        <c:auto val="true"/>
        <c:lblAlgn val="ctr"/>
        <c:lblOffset val="100"/>
        <c:noMultiLvlLbl val="false"/>
      </c:catAx>
      <c:valAx>
        <c:axId val="7910007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45254956"/>
        <c:crosses val="autoZero"/>
        <c:crossBetween val="between"/>
      </c:valAx>
      <c:catAx>
        <c:axId val="966923619"/>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968115942029"/>
              <c:y val="0.0838666960935776"/>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5179251"/>
        <c:crosses val="autoZero"/>
        <c:auto val="true"/>
        <c:lblAlgn val="ctr"/>
        <c:lblOffset val="100"/>
        <c:noMultiLvlLbl val="false"/>
      </c:catAx>
      <c:valAx>
        <c:axId val="325179251"/>
        <c:scaling>
          <c:orientation val="minMax"/>
        </c:scaling>
        <c:delete val="false"/>
        <c:axPos val="r"/>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6923619"/>
        <c:crosses val="max"/>
        <c:crossBetween val="between"/>
      </c:valAx>
      <c:spPr>
        <a:noFill/>
        <a:ln>
          <a:noFill/>
        </a:ln>
        <a:effectLst/>
      </c:spPr>
    </c:plotArea>
    <c:legend>
      <c:legendPos val="b"/>
      <c:layout>
        <c:manualLayout>
          <c:xMode val="edge"/>
          <c:yMode val="edge"/>
          <c:x val="0.259130434782609"/>
          <c:y val="0.89349519010536"/>
          <c:w val="0.502608695652174"/>
          <c:h val="0.099633531836921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5249</Words>
  <Characters>6400</Characters>
  <Lines>29</Lines>
  <Paragraphs>8</Paragraphs>
  <TotalTime>248</TotalTime>
  <ScaleCrop>false</ScaleCrop>
  <LinksUpToDate>false</LinksUpToDate>
  <CharactersWithSpaces>6449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2020-05-15T08:43:00Z</dcterms:created>
  <dc:creator>自由快乐雨</dc:creator>
  <cp:lastModifiedBy>zfb001</cp:lastModifiedBy>
  <dcterms:modified xsi:type="dcterms:W3CDTF">2024-01-11T16:07:07Z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95696488C3D74FCD8827E1062F0EA959</vt:lpwstr>
  </property>
</Properties>
</file>