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Fonts w:hint="eastAsia" w:ascii="方正小标宋_GBK" w:hAnsi="方正小标宋_GBK" w:eastAsia="方正小标宋_GBK" w:cs="方正小标宋_GBK"/>
          <w:b/>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14:textFill>
            <w14:solidFill>
              <w14:schemeClr w14:val="tx1"/>
            </w14:solidFill>
          </w14:textFill>
        </w:rPr>
        <w:t>20</w:t>
      </w:r>
      <w:r>
        <w:rPr>
          <w:rFonts w:hint="eastAsia" w:ascii="方正小标宋_GBK" w:hAnsi="方正小标宋_GBK" w:eastAsia="方正小标宋_GBK" w:cs="方正小标宋_GBK"/>
          <w:b/>
          <w:color w:val="000000" w:themeColor="text1"/>
          <w:sz w:val="44"/>
          <w:szCs w:val="44"/>
          <w:lang w:val="en-US" w:eastAsia="zh-CN"/>
          <w14:textFill>
            <w14:solidFill>
              <w14:schemeClr w14:val="tx1"/>
            </w14:solidFill>
          </w14:textFill>
        </w:rPr>
        <w:t>22</w:t>
      </w:r>
      <w:r>
        <w:rPr>
          <w:rFonts w:hint="eastAsia" w:ascii="方正小标宋_GBK" w:hAnsi="方正小标宋_GBK" w:eastAsia="方正小标宋_GBK" w:cs="方正小标宋_GBK"/>
          <w:b/>
          <w:color w:val="000000" w:themeColor="text1"/>
          <w:sz w:val="44"/>
          <w:szCs w:val="44"/>
          <w14:textFill>
            <w14:solidFill>
              <w14:schemeClr w14:val="tx1"/>
            </w14:solidFill>
          </w14:textFill>
        </w:rPr>
        <w:t>年中站区国民经济和社会发展</w:t>
      </w:r>
    </w:p>
    <w:p>
      <w:pPr>
        <w:pStyle w:val="7"/>
        <w:widowControl/>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14:textFill>
            <w14:solidFill>
              <w14:schemeClr w14:val="tx1"/>
            </w14:solidFill>
          </w14:textFill>
        </w:rPr>
        <w:t>统计公报</w:t>
      </w:r>
    </w:p>
    <w:p>
      <w:pPr>
        <w:pStyle w:val="7"/>
        <w:widowControl/>
        <w:spacing w:line="480" w:lineRule="auto"/>
        <w:jc w:val="center"/>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中站区统计局</w:t>
      </w:r>
    </w:p>
    <w:p>
      <w:pPr>
        <w:pStyle w:val="7"/>
        <w:widowControl/>
        <w:spacing w:line="480" w:lineRule="auto"/>
        <w:jc w:val="center"/>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2023年6月20日</w:t>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eastAsia="仿宋"/>
          <w:color w:val="C0000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一、综合</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C00000"/>
          <w:kern w:val="0"/>
          <w:sz w:val="32"/>
          <w:szCs w:val="32"/>
          <w:shd w:val="clear" w:color="auto" w:fill="FFFFFF"/>
        </w:rPr>
      </w:pPr>
      <w:r>
        <w:rPr>
          <w:rFonts w:hint="eastAsia" w:ascii="仿宋" w:hAnsi="仿宋" w:eastAsia="仿宋" w:cs="仿宋"/>
          <w:color w:val="000000" w:themeColor="text1"/>
          <w:sz w:val="32"/>
          <w:szCs w:val="32"/>
          <w14:textFill>
            <w14:solidFill>
              <w14:schemeClr w14:val="tx1"/>
            </w14:solidFill>
          </w14:textFill>
        </w:rPr>
        <w:t>初步核算，全年全区地区生产总值</w:t>
      </w:r>
      <w:r>
        <w:rPr>
          <w:rFonts w:hint="eastAsia" w:ascii="仿宋_GB2312" w:hAnsi="宋体" w:eastAsia="仿宋_GB2312"/>
          <w:bCs/>
          <w:color w:val="000000"/>
          <w:kern w:val="0"/>
          <w:sz w:val="32"/>
          <w:szCs w:val="32"/>
          <w:shd w:val="clear" w:color="auto" w:fill="FFFFFF"/>
          <w:lang w:val="en-US" w:eastAsia="zh-CN"/>
        </w:rPr>
        <w:t>161.5</w:t>
      </w:r>
      <w:r>
        <w:rPr>
          <w:rFonts w:hint="eastAsia" w:ascii="仿宋" w:hAnsi="仿宋" w:eastAsia="仿宋" w:cs="仿宋"/>
          <w:color w:val="000000" w:themeColor="text1"/>
          <w:sz w:val="32"/>
          <w:szCs w:val="32"/>
          <w14:textFill>
            <w14:solidFill>
              <w14:schemeClr w14:val="tx1"/>
            </w14:solidFill>
          </w14:textFill>
        </w:rPr>
        <w:t>亿元，比上年增长</w:t>
      </w:r>
      <w:r>
        <w:rPr>
          <w:rFonts w:hint="eastAsia" w:ascii="仿宋" w:hAnsi="仿宋" w:eastAsia="仿宋" w:cs="仿宋"/>
          <w:color w:val="000000" w:themeColor="text1"/>
          <w:sz w:val="32"/>
          <w:szCs w:val="32"/>
          <w:lang w:val="en-US" w:eastAsia="zh-CN"/>
          <w14:textFill>
            <w14:solidFill>
              <w14:schemeClr w14:val="tx1"/>
            </w14:solidFill>
          </w14:textFill>
        </w:rPr>
        <w:t>5.7</w:t>
      </w:r>
      <w:r>
        <w:rPr>
          <w:rFonts w:hint="eastAsia" w:ascii="仿宋" w:hAnsi="仿宋" w:eastAsia="仿宋" w:cs="仿宋"/>
          <w:color w:val="000000" w:themeColor="text1"/>
          <w:sz w:val="32"/>
          <w:szCs w:val="32"/>
          <w14:textFill>
            <w14:solidFill>
              <w14:schemeClr w14:val="tx1"/>
            </w14:solidFill>
          </w14:textFill>
        </w:rPr>
        <w:t>%。其中：第一产业增加值</w:t>
      </w:r>
      <w:r>
        <w:rPr>
          <w:rFonts w:hint="eastAsia" w:ascii="仿宋" w:hAnsi="仿宋" w:eastAsia="仿宋" w:cs="仿宋"/>
          <w:color w:val="000000" w:themeColor="text1"/>
          <w:sz w:val="32"/>
          <w:szCs w:val="32"/>
          <w:lang w:val="en-US" w:eastAsia="zh-CN"/>
          <w14:textFill>
            <w14:solidFill>
              <w14:schemeClr w14:val="tx1"/>
            </w14:solidFill>
          </w14:textFill>
        </w:rPr>
        <w:t>0.6</w:t>
      </w:r>
      <w:r>
        <w:rPr>
          <w:rFonts w:hint="eastAsia" w:ascii="仿宋" w:hAnsi="仿宋" w:eastAsia="仿宋" w:cs="仿宋"/>
          <w:color w:val="000000" w:themeColor="text1"/>
          <w:sz w:val="32"/>
          <w:szCs w:val="32"/>
          <w14:textFill>
            <w14:solidFill>
              <w14:schemeClr w14:val="tx1"/>
            </w14:solidFill>
          </w14:textFill>
        </w:rPr>
        <w:t>亿元，增长</w:t>
      </w:r>
      <w:r>
        <w:rPr>
          <w:rFonts w:hint="eastAsia" w:ascii="仿宋" w:hAnsi="仿宋" w:eastAsia="仿宋" w:cs="仿宋"/>
          <w:color w:val="000000" w:themeColor="text1"/>
          <w:sz w:val="32"/>
          <w:szCs w:val="32"/>
          <w:lang w:val="en-US" w:eastAsia="zh-CN"/>
          <w14:textFill>
            <w14:solidFill>
              <w14:schemeClr w14:val="tx1"/>
            </w14:solidFill>
          </w14:textFill>
        </w:rPr>
        <w:t>5.2</w:t>
      </w:r>
      <w:r>
        <w:rPr>
          <w:rFonts w:hint="eastAsia" w:ascii="仿宋" w:hAnsi="仿宋" w:eastAsia="仿宋" w:cs="仿宋"/>
          <w:color w:val="000000" w:themeColor="text1"/>
          <w:sz w:val="32"/>
          <w:szCs w:val="32"/>
          <w14:textFill>
            <w14:solidFill>
              <w14:schemeClr w14:val="tx1"/>
            </w14:solidFill>
          </w14:textFill>
        </w:rPr>
        <w:t>%；第二产业</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增加值</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122.3</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亿元，增长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7.6</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%；第三产业增加值</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38.6</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亿元，增长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0.4</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lang w:eastAsia="zh-CN"/>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第一产业增加值占国内生产总值比重为</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0.4</w:t>
      </w:r>
      <w:r>
        <w:rPr>
          <w:rFonts w:hint="default" w:ascii="仿宋_GB2312" w:hAnsi="宋体" w:eastAsia="仿宋_GB2312"/>
          <w:bCs/>
          <w:color w:val="000000" w:themeColor="text1"/>
          <w:kern w:val="0"/>
          <w:sz w:val="32"/>
          <w:szCs w:val="32"/>
          <w:shd w:val="clear" w:color="auto" w:fill="FFFFFF"/>
          <w:lang w:val="en-US"/>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，第二产业增加值比重为</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75.7</w:t>
      </w:r>
      <w:r>
        <w:rPr>
          <w:rFonts w:hint="default" w:ascii="仿宋_GB2312" w:hAnsi="宋体" w:eastAsia="仿宋_GB2312"/>
          <w:bCs/>
          <w:color w:val="000000" w:themeColor="text1"/>
          <w:kern w:val="0"/>
          <w:sz w:val="32"/>
          <w:szCs w:val="32"/>
          <w:shd w:val="clear" w:color="auto" w:fill="FFFFFF"/>
          <w:lang w:val="en-US"/>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，第三产业增加值比重为</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23.9</w:t>
      </w:r>
      <w:r>
        <w:rPr>
          <w:rFonts w:hint="default" w:ascii="仿宋_GB2312" w:hAnsi="宋体" w:eastAsia="仿宋_GB2312"/>
          <w:bCs/>
          <w:color w:val="000000" w:themeColor="text1"/>
          <w:kern w:val="0"/>
          <w:sz w:val="32"/>
          <w:szCs w:val="32"/>
          <w:shd w:val="clear" w:color="auto" w:fill="FFFFFF"/>
          <w:lang w:val="en-US"/>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lang w:eastAsia="zh-CN"/>
          <w14:textFill>
            <w14:solidFill>
              <w14:schemeClr w14:val="tx1"/>
            </w14:solidFill>
          </w14:textFill>
        </w:rPr>
        <w:t>按常住人口计算，全年</w:t>
      </w:r>
      <w:r>
        <w:rPr>
          <w:rFonts w:hint="eastAsia" w:ascii="仿宋" w:hAnsi="仿宋" w:eastAsia="仿宋" w:cs="仿宋"/>
          <w:color w:val="000000" w:themeColor="text1"/>
          <w:sz w:val="32"/>
          <w:szCs w:val="32"/>
          <w14:textFill>
            <w14:solidFill>
              <w14:schemeClr w14:val="tx1"/>
            </w14:solidFill>
          </w14:textFill>
        </w:rPr>
        <w:t>人均地区生产总值</w:t>
      </w:r>
      <w:r>
        <w:rPr>
          <w:rFonts w:hint="eastAsia" w:ascii="仿宋" w:hAnsi="仿宋" w:eastAsia="仿宋" w:cs="仿宋"/>
          <w:color w:val="000000" w:themeColor="text1"/>
          <w:sz w:val="32"/>
          <w:szCs w:val="32"/>
          <w:lang w:val="en-US" w:eastAsia="zh-CN"/>
          <w14:textFill>
            <w14:solidFill>
              <w14:schemeClr w14:val="tx1"/>
            </w14:solidFill>
          </w14:textFill>
        </w:rPr>
        <w:t>150460</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lang w:eastAsia="zh-CN"/>
          <w14:textFill>
            <w14:solidFill>
              <w14:schemeClr w14:val="tx1"/>
            </w14:solidFill>
          </w14:textFill>
        </w:rPr>
        <w:t>，比上年增长</w:t>
      </w:r>
      <w:r>
        <w:rPr>
          <w:rFonts w:hint="eastAsia" w:ascii="仿宋" w:hAnsi="仿宋" w:eastAsia="仿宋" w:cs="仿宋"/>
          <w:color w:val="000000" w:themeColor="text1"/>
          <w:sz w:val="32"/>
          <w:szCs w:val="32"/>
          <w:lang w:val="en-US" w:eastAsia="zh-CN"/>
          <w14:textFill>
            <w14:solidFill>
              <w14:schemeClr w14:val="tx1"/>
            </w14:solidFill>
          </w14:textFill>
        </w:rPr>
        <w:t>5.7%</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p>
    <w:p>
      <w:pPr>
        <w:pStyle w:val="3"/>
        <w:rPr>
          <w:rFonts w:hint="eastAsia" w:ascii="仿宋_GB2312" w:hAnsi="宋体" w:eastAsia="仿宋_GB2312"/>
          <w:bCs/>
          <w:color w:val="000000" w:themeColor="text1"/>
          <w:kern w:val="0"/>
          <w:sz w:val="32"/>
          <w:szCs w:val="32"/>
          <w:shd w:val="clear" w:color="auto" w:fill="FFFFFF"/>
          <w14:textFill>
            <w14:solidFill>
              <w14:schemeClr w14:val="tx1"/>
            </w14:solidFill>
          </w14:textFill>
        </w:rPr>
      </w:pPr>
    </w:p>
    <w:p>
      <w:pPr>
        <w:pStyle w:val="3"/>
        <w:rPr>
          <w:rFonts w:hint="eastAsia" w:ascii="仿宋_GB2312" w:hAnsi="宋体" w:eastAsia="仿宋_GB2312"/>
          <w:bCs/>
          <w:color w:val="C00000"/>
          <w:kern w:val="0"/>
          <w:sz w:val="32"/>
          <w:szCs w:val="32"/>
          <w:shd w:val="clear" w:color="auto" w:fill="FFFFFF"/>
        </w:rPr>
      </w:pPr>
    </w:p>
    <w:p>
      <w:pPr>
        <w:pStyle w:val="3"/>
        <w:ind w:left="0" w:leftChars="0" w:firstLine="0" w:firstLineChars="0"/>
        <w:jc w:val="both"/>
        <w:rPr>
          <w:color w:val="C00000"/>
        </w:rPr>
      </w:pPr>
    </w:p>
    <w:p>
      <w:pPr>
        <w:pStyle w:val="3"/>
        <w:ind w:left="0" w:leftChars="0" w:firstLine="0" w:firstLineChars="0"/>
        <w:jc w:val="both"/>
        <w:rPr>
          <w:color w:val="C00000"/>
        </w:rPr>
      </w:pPr>
      <w:r>
        <w:drawing>
          <wp:inline distT="0" distB="0" distL="114300" distR="114300">
            <wp:extent cx="5269865" cy="2350770"/>
            <wp:effectExtent l="4445" t="4445" r="21590" b="698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3"/>
        <w:ind w:left="0" w:leftChars="0" w:firstLine="0" w:firstLineChars="0"/>
        <w:jc w:val="both"/>
        <w:rPr>
          <w:rFonts w:hint="eastAsia"/>
          <w:color w:val="C00000"/>
        </w:rPr>
      </w:pPr>
    </w:p>
    <w:p>
      <w:pPr>
        <w:pStyle w:val="3"/>
        <w:ind w:left="0" w:leftChars="0" w:firstLine="0" w:firstLineChars="0"/>
        <w:rPr>
          <w:rFonts w:hint="eastAsia" w:ascii="仿宋_GB2312" w:hAnsi="宋体" w:eastAsia="仿宋_GB2312"/>
          <w:bCs/>
          <w:color w:val="C00000"/>
          <w:kern w:val="0"/>
          <w:sz w:val="32"/>
          <w:szCs w:val="32"/>
          <w:shd w:val="clear" w:color="auto" w:fill="FFFFFF"/>
        </w:rPr>
      </w:pPr>
      <w:r>
        <w:drawing>
          <wp:inline distT="0" distB="0" distL="114300" distR="114300">
            <wp:extent cx="5271770" cy="2341880"/>
            <wp:effectExtent l="4445" t="4445" r="19685" b="1587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cstheme="minorBidi"/>
          <w:bCs/>
          <w:color w:val="C00000"/>
          <w:kern w:val="0"/>
          <w:sz w:val="32"/>
          <w:szCs w:val="32"/>
          <w:shd w:val="clear" w:color="auto" w:fill="FFFFFF"/>
          <w:lang w:val="en-US" w:eastAsia="zh-CN" w:bidi="ar-SA"/>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t>年末全区常住人口107367人，其中城镇常住人口84863人，乡村常住人口22504人；常住人口城镇化率为79.04%。全年出生人口725人，人口出生率为6.75‰；死亡人口711人，人口死亡率为6.62‰；自然增长率为0.13‰。</w:t>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cstheme="minorBidi"/>
          <w:bCs/>
          <w:color w:val="C00000"/>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421" w:firstLineChars="150"/>
        <w:jc w:val="center"/>
        <w:rPr>
          <w:rFonts w:hint="default"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pPr>
      <w:r>
        <w:rPr>
          <w:rFonts w:hint="eastAsia"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t>表1  2022年年末中站区常住人口数及其构成</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nil"/>
              <w:bottom w:val="single" w:color="auto" w:sz="4" w:space="0"/>
              <w:right w:val="single" w:color="auto" w:sz="4" w:space="0"/>
            </w:tcBorders>
          </w:tcPr>
          <w:p>
            <w:pPr>
              <w:pStyle w:val="7"/>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指标</w:t>
            </w:r>
          </w:p>
        </w:tc>
        <w:tc>
          <w:tcPr>
            <w:tcW w:w="2841" w:type="dxa"/>
            <w:tcBorders>
              <w:top w:val="single" w:color="auto" w:sz="4" w:space="0"/>
              <w:left w:val="single" w:color="auto" w:sz="4" w:space="0"/>
              <w:bottom w:val="single" w:color="auto" w:sz="4" w:space="0"/>
              <w:right w:val="single" w:color="auto" w:sz="4" w:space="0"/>
            </w:tcBorders>
          </w:tcPr>
          <w:p>
            <w:pPr>
              <w:pStyle w:val="7"/>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年末数（人）</w:t>
            </w:r>
          </w:p>
        </w:tc>
        <w:tc>
          <w:tcPr>
            <w:tcW w:w="2841" w:type="dxa"/>
            <w:tcBorders>
              <w:top w:val="single" w:color="auto" w:sz="4" w:space="0"/>
              <w:left w:val="single" w:color="auto" w:sz="4" w:space="0"/>
              <w:bottom w:val="single" w:color="auto" w:sz="4" w:space="0"/>
              <w:right w:val="nil"/>
            </w:tcBorders>
          </w:tcPr>
          <w:p>
            <w:pPr>
              <w:pStyle w:val="7"/>
              <w:keepNext w:val="0"/>
              <w:keepLines w:val="0"/>
              <w:pageBreakBefore w:val="0"/>
              <w:widowControl/>
              <w:kinsoku/>
              <w:wordWrap/>
              <w:overflowPunct/>
              <w:topLinePunct w:val="0"/>
              <w:autoSpaceDE/>
              <w:autoSpaceDN/>
              <w:bidi w:val="0"/>
              <w:adjustRightInd/>
              <w:snapToGrid/>
              <w:spacing w:line="560" w:lineRule="exact"/>
              <w:jc w:val="center"/>
              <w:rPr>
                <w:rFonts w:hint="default"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nil"/>
              <w:bottom w:val="single" w:color="auto" w:sz="4" w:space="0"/>
              <w:right w:val="single" w:color="auto" w:sz="4" w:space="0"/>
            </w:tcBorders>
          </w:tcPr>
          <w:p>
            <w:pPr>
              <w:pStyle w:val="7"/>
              <w:keepNext w:val="0"/>
              <w:keepLines w:val="0"/>
              <w:pageBreakBefore w:val="0"/>
              <w:widowControl/>
              <w:kinsoku/>
              <w:wordWrap/>
              <w:overflowPunct/>
              <w:topLinePunct w:val="0"/>
              <w:autoSpaceDE/>
              <w:autoSpaceDN/>
              <w:bidi w:val="0"/>
              <w:adjustRightInd/>
              <w:snapToGrid/>
              <w:spacing w:line="560" w:lineRule="exact"/>
              <w:jc w:val="left"/>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全区常住人口</w:t>
            </w:r>
          </w:p>
        </w:tc>
        <w:tc>
          <w:tcPr>
            <w:tcW w:w="2841" w:type="dxa"/>
            <w:tcBorders>
              <w:top w:val="single" w:color="auto" w:sz="4" w:space="0"/>
              <w:left w:val="single" w:color="auto" w:sz="4" w:space="0"/>
              <w:bottom w:val="single" w:color="auto" w:sz="4" w:space="0"/>
              <w:right w:val="single" w:color="auto" w:sz="4" w:space="0"/>
            </w:tcBorders>
          </w:tcPr>
          <w:p>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lang w:val="en-US" w:eastAsia="zh-CN" w:bidi="ar-SA"/>
                <w14:textFill>
                  <w14:solidFill>
                    <w14:schemeClr w14:val="tx1"/>
                  </w14:solidFill>
                </w14:textFill>
              </w:rPr>
              <w:t>107367</w:t>
            </w:r>
          </w:p>
        </w:tc>
        <w:tc>
          <w:tcPr>
            <w:tcW w:w="2841" w:type="dxa"/>
            <w:tcBorders>
              <w:top w:val="single" w:color="auto" w:sz="4" w:space="0"/>
              <w:left w:val="single" w:color="auto" w:sz="4" w:space="0"/>
              <w:bottom w:val="single" w:color="auto" w:sz="4" w:space="0"/>
              <w:right w:val="nil"/>
            </w:tcBorders>
          </w:tcPr>
          <w:p>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nil"/>
              <w:bottom w:val="single" w:color="auto" w:sz="4" w:space="0"/>
              <w:right w:val="single" w:color="auto" w:sz="4" w:space="0"/>
            </w:tcBorders>
          </w:tcPr>
          <w:p>
            <w:pPr>
              <w:pStyle w:val="7"/>
              <w:keepNext w:val="0"/>
              <w:keepLines w:val="0"/>
              <w:pageBreakBefore w:val="0"/>
              <w:widowControl/>
              <w:kinsoku/>
              <w:wordWrap/>
              <w:overflowPunct/>
              <w:topLinePunct w:val="0"/>
              <w:autoSpaceDE/>
              <w:autoSpaceDN/>
              <w:bidi w:val="0"/>
              <w:adjustRightInd/>
              <w:snapToGrid/>
              <w:spacing w:line="560" w:lineRule="exact"/>
              <w:jc w:val="left"/>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其中：城镇</w:t>
            </w:r>
          </w:p>
        </w:tc>
        <w:tc>
          <w:tcPr>
            <w:tcW w:w="2841" w:type="dxa"/>
            <w:tcBorders>
              <w:top w:val="single" w:color="auto" w:sz="4" w:space="0"/>
              <w:left w:val="single" w:color="auto" w:sz="4" w:space="0"/>
              <w:bottom w:val="single" w:color="auto" w:sz="4" w:space="0"/>
              <w:right w:val="single" w:color="auto" w:sz="4" w:space="0"/>
            </w:tcBorders>
          </w:tcPr>
          <w:p>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84863</w:t>
            </w:r>
          </w:p>
        </w:tc>
        <w:tc>
          <w:tcPr>
            <w:tcW w:w="2841" w:type="dxa"/>
            <w:tcBorders>
              <w:top w:val="single" w:color="auto" w:sz="4" w:space="0"/>
              <w:left w:val="single" w:color="auto" w:sz="4" w:space="0"/>
              <w:bottom w:val="single" w:color="auto" w:sz="4" w:space="0"/>
              <w:right w:val="nil"/>
            </w:tcBorders>
          </w:tcPr>
          <w:p>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79.04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nil"/>
              <w:bottom w:val="single" w:color="auto" w:sz="4" w:space="0"/>
              <w:right w:val="single" w:color="auto" w:sz="4" w:space="0"/>
            </w:tcBorders>
          </w:tcPr>
          <w:p>
            <w:pPr>
              <w:pStyle w:val="7"/>
              <w:keepNext w:val="0"/>
              <w:keepLines w:val="0"/>
              <w:pageBreakBefore w:val="0"/>
              <w:widowControl/>
              <w:kinsoku/>
              <w:wordWrap/>
              <w:overflowPunct/>
              <w:topLinePunct w:val="0"/>
              <w:autoSpaceDE/>
              <w:autoSpaceDN/>
              <w:bidi w:val="0"/>
              <w:adjustRightInd/>
              <w:snapToGrid/>
              <w:spacing w:line="560" w:lineRule="exact"/>
              <w:jc w:val="lef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乡村</w:t>
            </w:r>
          </w:p>
        </w:tc>
        <w:tc>
          <w:tcPr>
            <w:tcW w:w="2841" w:type="dxa"/>
            <w:tcBorders>
              <w:top w:val="single" w:color="auto" w:sz="4" w:space="0"/>
              <w:left w:val="single" w:color="auto" w:sz="4" w:space="0"/>
              <w:bottom w:val="single" w:color="auto" w:sz="4" w:space="0"/>
              <w:right w:val="single" w:color="auto" w:sz="4" w:space="0"/>
            </w:tcBorders>
          </w:tcPr>
          <w:p>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lang w:val="en-US" w:eastAsia="zh-CN" w:bidi="ar-SA"/>
                <w14:textFill>
                  <w14:solidFill>
                    <w14:schemeClr w14:val="tx1"/>
                  </w14:solidFill>
                </w14:textFill>
              </w:rPr>
              <w:t>22504</w:t>
            </w:r>
          </w:p>
        </w:tc>
        <w:tc>
          <w:tcPr>
            <w:tcW w:w="2841" w:type="dxa"/>
            <w:tcBorders>
              <w:top w:val="single" w:color="auto" w:sz="4" w:space="0"/>
              <w:left w:val="single" w:color="auto" w:sz="4" w:space="0"/>
              <w:bottom w:val="single" w:color="auto" w:sz="4" w:space="0"/>
              <w:right w:val="nil"/>
            </w:tcBorders>
          </w:tcPr>
          <w:p>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20.96</w:t>
            </w:r>
          </w:p>
        </w:tc>
      </w:tr>
    </w:tbl>
    <w:p>
      <w:pPr>
        <w:pStyle w:val="7"/>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仿宋"/>
          <w:color w:val="C0000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C0000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C0000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C0000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C0000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C0000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C0000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仿宋"/>
          <w:color w:val="C00000"/>
          <w:sz w:val="32"/>
          <w:szCs w:val="32"/>
        </w:rPr>
      </w:pPr>
      <w:r>
        <w:drawing>
          <wp:anchor distT="0" distB="0" distL="114300" distR="114300" simplePos="0" relativeHeight="251660288" behindDoc="0" locked="0" layoutInCell="1" allowOverlap="1">
            <wp:simplePos x="0" y="0"/>
            <wp:positionH relativeFrom="column">
              <wp:posOffset>4445</wp:posOffset>
            </wp:positionH>
            <wp:positionV relativeFrom="paragraph">
              <wp:posOffset>-2339975</wp:posOffset>
            </wp:positionV>
            <wp:extent cx="5271135" cy="2618740"/>
            <wp:effectExtent l="4445" t="4445" r="20320" b="571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t>全年全区城镇新增就业人员5028人，城镇失业人员再就业2255人，其中就业困难人员就业396人。年末</w:t>
      </w:r>
      <w:r>
        <w:rPr>
          <w:rFonts w:hint="default"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t>城镇登记失业率为2.</w:t>
      </w:r>
      <w:r>
        <w:rPr>
          <w:rFonts w:hint="eastAsia"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t>84</w:t>
      </w:r>
      <w:r>
        <w:rPr>
          <w:rFonts w:hint="default"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t>%，与上年相比降低了0.42个百分点</w:t>
      </w:r>
      <w:r>
        <w:rPr>
          <w:rFonts w:hint="eastAsia"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t>。新增转移农村劳动力81人。</w:t>
      </w:r>
    </w:p>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宋体"/>
          <w:color w:val="auto"/>
          <w:kern w:val="0"/>
          <w:sz w:val="32"/>
          <w:szCs w:val="32"/>
        </w:rPr>
      </w:pPr>
      <w:r>
        <w:drawing>
          <wp:anchor distT="0" distB="0" distL="114300" distR="114300" simplePos="0" relativeHeight="251662336" behindDoc="0" locked="0" layoutInCell="1" allowOverlap="1">
            <wp:simplePos x="0" y="0"/>
            <wp:positionH relativeFrom="column">
              <wp:posOffset>15875</wp:posOffset>
            </wp:positionH>
            <wp:positionV relativeFrom="paragraph">
              <wp:posOffset>189230</wp:posOffset>
            </wp:positionV>
            <wp:extent cx="5273040" cy="2738120"/>
            <wp:effectExtent l="4445" t="4445" r="18415" b="19685"/>
            <wp:wrapNone/>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auto"/>
          <w:kern w:val="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auto"/>
          <w:kern w:val="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仿宋"/>
          <w:color w:val="C00000"/>
          <w:sz w:val="32"/>
          <w:szCs w:val="32"/>
          <w:lang w:eastAsia="zh-CN"/>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C00000"/>
          <w:sz w:val="32"/>
          <w:szCs w:val="32"/>
          <w:lang w:eastAsia="zh-CN"/>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C00000"/>
          <w:sz w:val="32"/>
          <w:szCs w:val="32"/>
          <w:lang w:eastAsia="zh-CN"/>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C00000"/>
          <w:sz w:val="32"/>
          <w:szCs w:val="32"/>
          <w:lang w:eastAsia="zh-CN"/>
        </w:rPr>
      </w:pPr>
    </w:p>
    <w:p>
      <w:pPr>
        <w:pStyle w:val="7"/>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仿宋"/>
          <w:color w:val="C00000"/>
          <w:sz w:val="32"/>
          <w:szCs w:val="32"/>
          <w:lang w:eastAsia="zh-CN"/>
        </w:rPr>
      </w:pPr>
    </w:p>
    <w:p>
      <w:pPr>
        <w:pStyle w:val="7"/>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仿宋"/>
          <w:color w:val="C00000"/>
          <w:sz w:val="32"/>
          <w:szCs w:val="32"/>
          <w:lang w:eastAsia="zh-CN"/>
        </w:rPr>
      </w:pP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二、农业</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全年</w:t>
      </w:r>
      <w:r>
        <w:rPr>
          <w:rFonts w:hint="eastAsia" w:ascii="仿宋" w:hAnsi="仿宋" w:eastAsia="仿宋" w:cs="仿宋"/>
          <w:color w:val="000000" w:themeColor="text1"/>
          <w:sz w:val="32"/>
          <w:szCs w:val="32"/>
          <w:lang w:eastAsia="zh-CN"/>
          <w14:textFill>
            <w14:solidFill>
              <w14:schemeClr w14:val="tx1"/>
            </w14:solidFill>
          </w14:textFill>
        </w:rPr>
        <w:t>全区</w:t>
      </w:r>
      <w:r>
        <w:rPr>
          <w:rFonts w:hint="eastAsia" w:ascii="仿宋" w:hAnsi="仿宋" w:eastAsia="仿宋" w:cs="仿宋"/>
          <w:color w:val="000000" w:themeColor="text1"/>
          <w:sz w:val="32"/>
          <w:szCs w:val="32"/>
          <w14:textFill>
            <w14:solidFill>
              <w14:schemeClr w14:val="tx1"/>
            </w14:solidFill>
          </w14:textFill>
        </w:rPr>
        <w:t>农作物总播种面积1153.82 公顷，比上年增加18.73公顷,其中粮食播种面积1</w:t>
      </w:r>
      <w:r>
        <w:rPr>
          <w:rFonts w:hint="eastAsia" w:ascii="仿宋" w:hAnsi="仿宋" w:eastAsia="仿宋" w:cs="仿宋"/>
          <w:color w:val="000000" w:themeColor="text1"/>
          <w:sz w:val="32"/>
          <w:szCs w:val="32"/>
          <w:lang w:val="en-US" w:eastAsia="zh-CN"/>
          <w14:textFill>
            <w14:solidFill>
              <w14:schemeClr w14:val="tx1"/>
            </w14:solidFill>
          </w14:textFill>
        </w:rPr>
        <w:t>070.09</w:t>
      </w:r>
      <w:r>
        <w:rPr>
          <w:rFonts w:hint="eastAsia" w:ascii="仿宋" w:hAnsi="仿宋" w:eastAsia="仿宋" w:cs="仿宋"/>
          <w:color w:val="000000" w:themeColor="text1"/>
          <w:sz w:val="32"/>
          <w:szCs w:val="32"/>
          <w14:textFill>
            <w14:solidFill>
              <w14:schemeClr w14:val="tx1"/>
            </w14:solidFill>
          </w14:textFill>
        </w:rPr>
        <w:t>公顷,比上年增加</w:t>
      </w:r>
      <w:r>
        <w:rPr>
          <w:rFonts w:hint="eastAsia" w:ascii="仿宋" w:hAnsi="仿宋" w:eastAsia="仿宋" w:cs="仿宋"/>
          <w:color w:val="000000" w:themeColor="text1"/>
          <w:sz w:val="32"/>
          <w:szCs w:val="32"/>
          <w:lang w:val="en-US" w:eastAsia="zh-CN"/>
          <w14:textFill>
            <w14:solidFill>
              <w14:schemeClr w14:val="tx1"/>
            </w14:solidFill>
          </w14:textFill>
        </w:rPr>
        <w:t>10.46</w:t>
      </w:r>
      <w:r>
        <w:rPr>
          <w:rFonts w:hint="eastAsia" w:ascii="仿宋" w:hAnsi="仿宋" w:eastAsia="仿宋" w:cs="仿宋"/>
          <w:color w:val="000000" w:themeColor="text1"/>
          <w:sz w:val="32"/>
          <w:szCs w:val="32"/>
          <w14:textFill>
            <w14:solidFill>
              <w14:schemeClr w14:val="tx1"/>
            </w14:solidFill>
          </w14:textFill>
        </w:rPr>
        <w:t>公顷，小麦播种面积</w:t>
      </w:r>
      <w:r>
        <w:rPr>
          <w:rFonts w:hint="eastAsia" w:ascii="仿宋" w:hAnsi="仿宋" w:eastAsia="仿宋" w:cs="仿宋"/>
          <w:color w:val="000000" w:themeColor="text1"/>
          <w:sz w:val="32"/>
          <w:szCs w:val="32"/>
          <w:lang w:val="en-US" w:eastAsia="zh-CN"/>
          <w14:textFill>
            <w14:solidFill>
              <w14:schemeClr w14:val="tx1"/>
            </w14:solidFill>
          </w14:textFill>
        </w:rPr>
        <w:t>521.04</w:t>
      </w:r>
      <w:r>
        <w:rPr>
          <w:rFonts w:hint="eastAsia" w:ascii="仿宋" w:hAnsi="仿宋" w:eastAsia="仿宋" w:cs="仿宋"/>
          <w:color w:val="000000" w:themeColor="text1"/>
          <w:sz w:val="32"/>
          <w:szCs w:val="32"/>
          <w14:textFill>
            <w14:solidFill>
              <w14:schemeClr w14:val="tx1"/>
            </w14:solidFill>
          </w14:textFill>
        </w:rPr>
        <w:t>公顷，比上年</w:t>
      </w:r>
      <w:r>
        <w:rPr>
          <w:rFonts w:hint="eastAsia" w:ascii="仿宋" w:hAnsi="仿宋" w:eastAsia="仿宋" w:cs="仿宋"/>
          <w:color w:val="000000" w:themeColor="text1"/>
          <w:sz w:val="32"/>
          <w:szCs w:val="32"/>
          <w:lang w:val="en-US" w:eastAsia="zh-CN"/>
          <w14:textFill>
            <w14:solidFill>
              <w14:schemeClr w14:val="tx1"/>
            </w14:solidFill>
          </w14:textFill>
        </w:rPr>
        <w:t>减少18.09</w:t>
      </w:r>
      <w:r>
        <w:rPr>
          <w:rFonts w:hint="eastAsia" w:ascii="仿宋" w:hAnsi="仿宋" w:eastAsia="仿宋" w:cs="仿宋"/>
          <w:color w:val="000000" w:themeColor="text1"/>
          <w:sz w:val="32"/>
          <w:szCs w:val="32"/>
          <w14:textFill>
            <w14:solidFill>
              <w14:schemeClr w14:val="tx1"/>
            </w14:solidFill>
          </w14:textFill>
        </w:rPr>
        <w:t>公顷,玉米播种面积</w:t>
      </w:r>
      <w:r>
        <w:rPr>
          <w:rFonts w:hint="eastAsia" w:ascii="仿宋" w:hAnsi="仿宋" w:eastAsia="仿宋" w:cs="仿宋"/>
          <w:color w:val="000000" w:themeColor="text1"/>
          <w:sz w:val="32"/>
          <w:szCs w:val="32"/>
          <w:lang w:val="en-US" w:eastAsia="zh-CN"/>
          <w14:textFill>
            <w14:solidFill>
              <w14:schemeClr w14:val="tx1"/>
            </w14:solidFill>
          </w14:textFill>
        </w:rPr>
        <w:t>534.14</w:t>
      </w:r>
      <w:r>
        <w:rPr>
          <w:rFonts w:hint="eastAsia" w:ascii="仿宋" w:hAnsi="仿宋" w:eastAsia="仿宋" w:cs="仿宋"/>
          <w:color w:val="000000" w:themeColor="text1"/>
          <w:sz w:val="32"/>
          <w:szCs w:val="32"/>
          <w14:textFill>
            <w14:solidFill>
              <w14:schemeClr w14:val="tx1"/>
            </w14:solidFill>
          </w14:textFill>
        </w:rPr>
        <w:t>公顷，比上年</w:t>
      </w:r>
      <w:r>
        <w:rPr>
          <w:rFonts w:hint="eastAsia" w:ascii="仿宋" w:hAnsi="仿宋" w:eastAsia="仿宋" w:cs="仿宋"/>
          <w:color w:val="000000" w:themeColor="text1"/>
          <w:sz w:val="32"/>
          <w:szCs w:val="32"/>
          <w:lang w:val="en-US" w:eastAsia="zh-CN"/>
          <w14:textFill>
            <w14:solidFill>
              <w14:schemeClr w14:val="tx1"/>
            </w14:solidFill>
          </w14:textFill>
        </w:rPr>
        <w:t>增加</w:t>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1.14</w:t>
      </w:r>
      <w:r>
        <w:rPr>
          <w:rFonts w:hint="eastAsia" w:ascii="仿宋" w:hAnsi="仿宋" w:eastAsia="仿宋" w:cs="仿宋"/>
          <w:color w:val="000000" w:themeColor="text1"/>
          <w:sz w:val="32"/>
          <w:szCs w:val="32"/>
          <w14:textFill>
            <w14:solidFill>
              <w14:schemeClr w14:val="tx1"/>
            </w14:solidFill>
          </w14:textFill>
        </w:rPr>
        <w:t>公顷,蔬菜播种面积65.01公顷，比上年</w:t>
      </w:r>
      <w:r>
        <w:rPr>
          <w:rFonts w:hint="eastAsia" w:ascii="仿宋" w:hAnsi="仿宋" w:eastAsia="仿宋" w:cs="仿宋"/>
          <w:color w:val="000000" w:themeColor="text1"/>
          <w:sz w:val="32"/>
          <w:szCs w:val="32"/>
          <w:lang w:val="en-US" w:eastAsia="zh-CN"/>
          <w14:textFill>
            <w14:solidFill>
              <w14:schemeClr w14:val="tx1"/>
            </w14:solidFill>
          </w14:textFill>
        </w:rPr>
        <w:t>减少</w:t>
      </w:r>
      <w:r>
        <w:rPr>
          <w:rFonts w:hint="eastAsia" w:ascii="仿宋" w:hAnsi="仿宋" w:eastAsia="仿宋" w:cs="仿宋"/>
          <w:color w:val="000000" w:themeColor="text1"/>
          <w:sz w:val="32"/>
          <w:szCs w:val="32"/>
          <w14:textFill>
            <w14:solidFill>
              <w14:schemeClr w14:val="tx1"/>
            </w14:solidFill>
          </w14:textFill>
        </w:rPr>
        <w:t>3.42公顷。</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全年全年</w:t>
      </w:r>
      <w:r>
        <w:rPr>
          <w:rFonts w:hint="eastAsia" w:ascii="仿宋" w:hAnsi="仿宋" w:eastAsia="仿宋" w:cs="仿宋"/>
          <w:color w:val="000000" w:themeColor="text1"/>
          <w:sz w:val="32"/>
          <w:szCs w:val="32"/>
          <w:lang w:eastAsia="zh-CN"/>
          <w14:textFill>
            <w14:solidFill>
              <w14:schemeClr w14:val="tx1"/>
            </w14:solidFill>
          </w14:textFill>
        </w:rPr>
        <w:t>全区</w:t>
      </w:r>
      <w:r>
        <w:rPr>
          <w:rFonts w:hint="eastAsia" w:ascii="仿宋" w:hAnsi="仿宋" w:eastAsia="仿宋" w:cs="仿宋"/>
          <w:color w:val="000000" w:themeColor="text1"/>
          <w:sz w:val="32"/>
          <w:szCs w:val="32"/>
          <w14:textFill>
            <w14:solidFill>
              <w14:schemeClr w14:val="tx1"/>
            </w14:solidFill>
          </w14:textFill>
        </w:rPr>
        <w:t>粮食产量</w:t>
      </w:r>
      <w:r>
        <w:rPr>
          <w:rFonts w:hint="eastAsia" w:ascii="仿宋" w:hAnsi="仿宋" w:eastAsia="仿宋" w:cs="仿宋"/>
          <w:color w:val="000000" w:themeColor="text1"/>
          <w:sz w:val="32"/>
          <w:szCs w:val="32"/>
          <w:lang w:val="en-US" w:eastAsia="zh-CN"/>
          <w14:textFill>
            <w14:solidFill>
              <w14:schemeClr w14:val="tx1"/>
            </w14:solidFill>
          </w14:textFill>
        </w:rPr>
        <w:t>7038.25</w:t>
      </w:r>
      <w:r>
        <w:rPr>
          <w:rFonts w:hint="eastAsia" w:ascii="仿宋" w:hAnsi="仿宋" w:eastAsia="仿宋" w:cs="仿宋"/>
          <w:color w:val="000000" w:themeColor="text1"/>
          <w:sz w:val="32"/>
          <w:szCs w:val="32"/>
          <w14:textFill>
            <w14:solidFill>
              <w14:schemeClr w14:val="tx1"/>
            </w14:solidFill>
          </w14:textFill>
        </w:rPr>
        <w:t>吨，比上年增长</w:t>
      </w:r>
      <w:r>
        <w:rPr>
          <w:rFonts w:hint="eastAsia" w:ascii="仿宋" w:hAnsi="仿宋" w:eastAsia="仿宋" w:cs="仿宋"/>
          <w:color w:val="000000" w:themeColor="text1"/>
          <w:sz w:val="32"/>
          <w:szCs w:val="32"/>
          <w:lang w:val="en-US" w:eastAsia="zh-CN"/>
          <w14:textFill>
            <w14:solidFill>
              <w14:schemeClr w14:val="tx1"/>
            </w14:solidFill>
          </w14:textFill>
        </w:rPr>
        <w:t>12.37</w:t>
      </w:r>
      <w:r>
        <w:rPr>
          <w:rFonts w:hint="eastAsia" w:ascii="仿宋" w:hAnsi="仿宋" w:eastAsia="仿宋" w:cs="仿宋"/>
          <w:color w:val="000000" w:themeColor="text1"/>
          <w:sz w:val="32"/>
          <w:szCs w:val="32"/>
          <w14:textFill>
            <w14:solidFill>
              <w14:schemeClr w14:val="tx1"/>
            </w14:solidFill>
          </w14:textFill>
        </w:rPr>
        <w:t>%；蔬菜总产量2518.5吨，比上年增长3.8%；水果总产量404.8吨，比上年下降8.4 %。</w:t>
      </w:r>
    </w:p>
    <w:p>
      <w:pPr>
        <w:pStyle w:val="3"/>
        <w:ind w:left="0" w:leftChars="0" w:firstLine="0" w:firstLineChars="0"/>
        <w:jc w:val="left"/>
        <w:rPr>
          <w:rFonts w:hint="eastAsia" w:ascii="仿宋" w:hAnsi="仿宋" w:eastAsia="仿宋" w:cs="仿宋"/>
          <w:color w:val="C00000"/>
          <w:sz w:val="32"/>
          <w:szCs w:val="32"/>
        </w:rPr>
      </w:pPr>
      <w:r>
        <w:drawing>
          <wp:inline distT="0" distB="0" distL="114300" distR="114300">
            <wp:extent cx="5272405" cy="2736850"/>
            <wp:effectExtent l="4445" t="4445" r="19050" b="20955"/>
            <wp:docPr id="1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全年</w:t>
      </w:r>
      <w:r>
        <w:rPr>
          <w:rFonts w:hint="eastAsia" w:ascii="仿宋" w:hAnsi="仿宋" w:eastAsia="仿宋" w:cs="仿宋"/>
          <w:color w:val="000000" w:themeColor="text1"/>
          <w:sz w:val="32"/>
          <w:szCs w:val="32"/>
          <w:lang w:eastAsia="zh-CN"/>
          <w14:textFill>
            <w14:solidFill>
              <w14:schemeClr w14:val="tx1"/>
            </w14:solidFill>
          </w14:textFill>
        </w:rPr>
        <w:t>全区</w:t>
      </w:r>
      <w:r>
        <w:rPr>
          <w:rFonts w:hint="eastAsia" w:ascii="仿宋" w:hAnsi="仿宋" w:eastAsia="仿宋" w:cs="仿宋"/>
          <w:color w:val="000000" w:themeColor="text1"/>
          <w:sz w:val="32"/>
          <w:szCs w:val="32"/>
          <w14:textFill>
            <w14:solidFill>
              <w14:schemeClr w14:val="tx1"/>
            </w14:solidFill>
          </w14:textFill>
        </w:rPr>
        <w:t>生猪存栏</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9913</w:t>
      </w:r>
      <w:r>
        <w:rPr>
          <w:rFonts w:hint="eastAsia" w:ascii="仿宋" w:hAnsi="仿宋" w:eastAsia="仿宋" w:cs="仿宋"/>
          <w:color w:val="000000" w:themeColor="text1"/>
          <w:sz w:val="32"/>
          <w:szCs w:val="32"/>
          <w14:textFill>
            <w14:solidFill>
              <w14:schemeClr w14:val="tx1"/>
            </w14:solidFill>
          </w14:textFill>
        </w:rPr>
        <w:t>头，比上年</w:t>
      </w:r>
      <w:r>
        <w:rPr>
          <w:rFonts w:hint="eastAsia" w:ascii="仿宋" w:hAnsi="仿宋" w:eastAsia="仿宋" w:cs="仿宋"/>
          <w:color w:val="000000" w:themeColor="text1"/>
          <w:sz w:val="32"/>
          <w:szCs w:val="32"/>
          <w:lang w:val="en-US" w:eastAsia="zh-CN"/>
          <w14:textFill>
            <w14:solidFill>
              <w14:schemeClr w14:val="tx1"/>
            </w14:solidFill>
          </w14:textFill>
        </w:rPr>
        <w:t>减少</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5.9</w:t>
      </w:r>
      <w:r>
        <w:rPr>
          <w:rFonts w:hint="eastAsia" w:ascii="仿宋" w:hAnsi="仿宋" w:eastAsia="仿宋" w:cs="仿宋"/>
          <w:color w:val="000000" w:themeColor="text1"/>
          <w:sz w:val="32"/>
          <w:szCs w:val="32"/>
          <w14:textFill>
            <w14:solidFill>
              <w14:schemeClr w14:val="tx1"/>
            </w14:solidFill>
          </w14:textFill>
        </w:rPr>
        <w:t>%,牛存栏</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642</w:t>
      </w:r>
      <w:r>
        <w:rPr>
          <w:rFonts w:hint="eastAsia" w:ascii="仿宋" w:hAnsi="仿宋" w:eastAsia="仿宋" w:cs="仿宋"/>
          <w:color w:val="000000" w:themeColor="text1"/>
          <w:sz w:val="32"/>
          <w:szCs w:val="32"/>
          <w14:textFill>
            <w14:solidFill>
              <w14:schemeClr w14:val="tx1"/>
            </w14:solidFill>
          </w14:textFill>
        </w:rPr>
        <w:t>头，比上年增长</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48.6</w:t>
      </w:r>
      <w:r>
        <w:rPr>
          <w:rFonts w:hint="eastAsia" w:ascii="仿宋" w:hAnsi="仿宋" w:eastAsia="仿宋" w:cs="仿宋"/>
          <w:color w:val="000000" w:themeColor="text1"/>
          <w:sz w:val="32"/>
          <w:szCs w:val="32"/>
          <w14:textFill>
            <w14:solidFill>
              <w14:schemeClr w14:val="tx1"/>
            </w14:solidFill>
          </w14:textFill>
        </w:rPr>
        <w:t>%，羊存栏</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16240</w:t>
      </w:r>
      <w:r>
        <w:rPr>
          <w:rFonts w:hint="eastAsia" w:ascii="仿宋" w:hAnsi="仿宋" w:eastAsia="仿宋" w:cs="仿宋"/>
          <w:color w:val="000000" w:themeColor="text1"/>
          <w:sz w:val="32"/>
          <w:szCs w:val="32"/>
          <w14:textFill>
            <w14:solidFill>
              <w14:schemeClr w14:val="tx1"/>
            </w14:solidFill>
          </w14:textFill>
        </w:rPr>
        <w:t>只,比上年</w:t>
      </w:r>
      <w:r>
        <w:rPr>
          <w:rFonts w:hint="eastAsia" w:ascii="仿宋" w:hAnsi="仿宋" w:eastAsia="仿宋" w:cs="仿宋"/>
          <w:color w:val="000000" w:themeColor="text1"/>
          <w:sz w:val="32"/>
          <w:szCs w:val="32"/>
          <w:lang w:val="en-US" w:eastAsia="zh-CN"/>
          <w14:textFill>
            <w14:solidFill>
              <w14:schemeClr w14:val="tx1"/>
            </w14:solidFill>
          </w14:textFill>
        </w:rPr>
        <w:t>减少</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35.6</w:t>
      </w:r>
      <w:r>
        <w:rPr>
          <w:rFonts w:hint="eastAsia" w:ascii="仿宋" w:hAnsi="仿宋" w:eastAsia="仿宋" w:cs="仿宋"/>
          <w:color w:val="000000" w:themeColor="text1"/>
          <w:sz w:val="32"/>
          <w:szCs w:val="32"/>
          <w14:textFill>
            <w14:solidFill>
              <w14:schemeClr w14:val="tx1"/>
            </w14:solidFill>
          </w14:textFill>
        </w:rPr>
        <w:t>%,家禽存栏</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83163</w:t>
      </w:r>
      <w:r>
        <w:rPr>
          <w:rFonts w:hint="eastAsia" w:ascii="仿宋" w:hAnsi="仿宋" w:eastAsia="仿宋" w:cs="仿宋"/>
          <w:color w:val="000000" w:themeColor="text1"/>
          <w:sz w:val="32"/>
          <w:szCs w:val="32"/>
          <w14:textFill>
            <w14:solidFill>
              <w14:schemeClr w14:val="tx1"/>
            </w14:solidFill>
          </w14:textFill>
        </w:rPr>
        <w:t>只，比上年</w:t>
      </w:r>
      <w:r>
        <w:rPr>
          <w:rFonts w:hint="eastAsia" w:ascii="仿宋" w:hAnsi="仿宋" w:eastAsia="仿宋" w:cs="仿宋"/>
          <w:color w:val="000000" w:themeColor="text1"/>
          <w:sz w:val="32"/>
          <w:szCs w:val="32"/>
          <w:lang w:val="en-US" w:eastAsia="zh-CN"/>
          <w14:textFill>
            <w14:solidFill>
              <w14:schemeClr w14:val="tx1"/>
            </w14:solidFill>
          </w14:textFill>
        </w:rPr>
        <w:t>增长</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0.46</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snapToGrid/>
        <w:spacing w:line="560" w:lineRule="exact"/>
        <w:ind w:left="0" w:firstLine="640" w:firstLineChars="200"/>
        <w:jc w:val="both"/>
        <w:rPr>
          <w:rFonts w:hint="eastAsia" w:ascii="仿宋_GB2312" w:hAnsi="宋体" w:eastAsia="仿宋_GB2312"/>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全年全区</w:t>
      </w:r>
      <w:r>
        <w:rPr>
          <w:rFonts w:hint="eastAsia" w:ascii="仿宋" w:hAnsi="仿宋" w:eastAsia="仿宋" w:cs="仿宋"/>
          <w:color w:val="000000" w:themeColor="text1"/>
          <w:sz w:val="32"/>
          <w:szCs w:val="32"/>
          <w14:textFill>
            <w14:solidFill>
              <w14:schemeClr w14:val="tx1"/>
            </w14:solidFill>
          </w14:textFill>
        </w:rPr>
        <w:t>肉类总产量</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1396.8吨，比上年增长20.7%；蛋类产量1207吨，比上年增长30.5%。</w:t>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auto"/>
          <w:kern w:val="0"/>
          <w:sz w:val="32"/>
          <w:szCs w:val="32"/>
        </w:rPr>
        <w:t>年末农业机械总动力</w:t>
      </w:r>
      <w:r>
        <w:rPr>
          <w:rFonts w:hint="eastAsia" w:ascii="仿宋_GB2312" w:hAnsi="仿宋_GB2312" w:eastAsia="仿宋_GB2312" w:cs="仿宋_GB2312"/>
          <w:color w:val="auto"/>
          <w:kern w:val="0"/>
          <w:sz w:val="32"/>
          <w:szCs w:val="32"/>
          <w:lang w:val="en-US" w:eastAsia="zh-CN"/>
        </w:rPr>
        <w:t>1100</w:t>
      </w:r>
      <w:r>
        <w:rPr>
          <w:rFonts w:hint="eastAsia" w:ascii="仿宋_GB2312" w:hAnsi="仿宋_GB2312" w:eastAsia="仿宋_GB2312" w:cs="仿宋_GB2312"/>
          <w:color w:val="auto"/>
          <w:kern w:val="0"/>
          <w:sz w:val="32"/>
          <w:szCs w:val="32"/>
        </w:rPr>
        <w:t>千瓦时，比上年增长</w:t>
      </w:r>
      <w:r>
        <w:rPr>
          <w:rFonts w:hint="eastAsia" w:ascii="仿宋_GB2312" w:hAnsi="仿宋_GB2312" w:eastAsia="仿宋_GB2312" w:cs="仿宋_GB2312"/>
          <w:color w:val="auto"/>
          <w:kern w:val="0"/>
          <w:sz w:val="32"/>
          <w:szCs w:val="32"/>
          <w:lang w:val="en-US" w:eastAsia="zh-CN"/>
        </w:rPr>
        <w:t>4.27</w:t>
      </w:r>
      <w:r>
        <w:rPr>
          <w:rFonts w:hint="eastAsia" w:ascii="仿宋_GB2312" w:hAnsi="仿宋_GB2312" w:eastAsia="仿宋_GB2312" w:cs="仿宋_GB2312"/>
          <w:color w:val="auto"/>
          <w:kern w:val="0"/>
          <w:sz w:val="32"/>
          <w:szCs w:val="32"/>
        </w:rPr>
        <w:t>%；农用拖拉机</w:t>
      </w:r>
      <w:r>
        <w:rPr>
          <w:rFonts w:hint="eastAsia" w:ascii="仿宋_GB2312" w:hAnsi="仿宋_GB2312" w:eastAsia="仿宋_GB2312" w:cs="仿宋_GB2312"/>
          <w:color w:val="auto"/>
          <w:kern w:val="0"/>
          <w:sz w:val="32"/>
          <w:szCs w:val="32"/>
          <w:lang w:val="en-US" w:eastAsia="zh-CN"/>
        </w:rPr>
        <w:t>24</w:t>
      </w:r>
      <w:r>
        <w:rPr>
          <w:rFonts w:hint="eastAsia" w:ascii="仿宋_GB2312" w:hAnsi="仿宋_GB2312" w:eastAsia="仿宋_GB2312" w:cs="仿宋_GB2312"/>
          <w:color w:val="auto"/>
          <w:kern w:val="0"/>
          <w:sz w:val="32"/>
          <w:szCs w:val="32"/>
        </w:rPr>
        <w:t>台。</w:t>
      </w: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三、工业和建筑业</w:t>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C00000"/>
          <w:sz w:val="32"/>
          <w:szCs w:val="32"/>
          <w:shd w:val="clear" w:color="auto" w:fill="FFFFFF"/>
          <w:lang w:val="en-US" w:eastAsia="zh-CN"/>
        </w:rPr>
      </w:pPr>
      <w:r>
        <w:rPr>
          <w:rFonts w:hint="eastAsia" w:ascii="仿宋_GB2312" w:hAnsi="宋体" w:eastAsia="仿宋_GB2312"/>
          <w:bCs/>
          <w:color w:val="000000" w:themeColor="text1"/>
          <w:sz w:val="32"/>
          <w:szCs w:val="32"/>
          <w:shd w:val="clear" w:color="auto" w:fill="FFFFFF"/>
          <w:lang w:eastAsia="zh-CN"/>
          <w14:textFill>
            <w14:solidFill>
              <w14:schemeClr w14:val="tx1"/>
            </w14:solidFill>
          </w14:textFill>
        </w:rPr>
        <w:t>全年全区</w:t>
      </w:r>
      <w:r>
        <w:rPr>
          <w:rFonts w:hint="eastAsia" w:ascii="仿宋_GB2312" w:hAnsi="宋体" w:eastAsia="仿宋_GB2312"/>
          <w:bCs/>
          <w:color w:val="000000" w:themeColor="text1"/>
          <w:sz w:val="32"/>
          <w:szCs w:val="32"/>
          <w:shd w:val="clear" w:color="auto" w:fill="FFFFFF"/>
          <w14:textFill>
            <w14:solidFill>
              <w14:schemeClr w14:val="tx1"/>
            </w14:solidFill>
          </w14:textFill>
        </w:rPr>
        <w:t>规模以上工业企业产值完成</w:t>
      </w:r>
      <w:r>
        <w:rPr>
          <w:rFonts w:hint="eastAsia" w:ascii="仿宋_GB2312" w:hAnsi="宋体" w:eastAsia="仿宋_GB2312"/>
          <w:bCs/>
          <w:color w:val="000000" w:themeColor="text1"/>
          <w:sz w:val="32"/>
          <w:szCs w:val="32"/>
          <w:shd w:val="clear" w:color="auto" w:fill="FFFFFF"/>
          <w:lang w:val="en-US" w:eastAsia="zh-CN"/>
          <w14:textFill>
            <w14:solidFill>
              <w14:schemeClr w14:val="tx1"/>
            </w14:solidFill>
          </w14:textFill>
        </w:rPr>
        <w:t>467.2</w:t>
      </w:r>
      <w:r>
        <w:rPr>
          <w:rFonts w:hint="eastAsia" w:ascii="仿宋_GB2312" w:hAnsi="宋体" w:eastAsia="仿宋_GB2312"/>
          <w:bCs/>
          <w:color w:val="000000" w:themeColor="text1"/>
          <w:sz w:val="32"/>
          <w:szCs w:val="32"/>
          <w:shd w:val="clear" w:color="auto" w:fill="FFFFFF"/>
          <w14:textFill>
            <w14:solidFill>
              <w14:schemeClr w14:val="tx1"/>
            </w14:solidFill>
          </w14:textFill>
        </w:rPr>
        <w:t>亿元，比上年增长</w:t>
      </w:r>
      <w:r>
        <w:rPr>
          <w:rFonts w:hint="eastAsia" w:ascii="仿宋_GB2312" w:hAnsi="宋体" w:eastAsia="仿宋_GB2312"/>
          <w:bCs/>
          <w:color w:val="000000" w:themeColor="text1"/>
          <w:sz w:val="32"/>
          <w:szCs w:val="32"/>
          <w:shd w:val="clear" w:color="auto" w:fill="FFFFFF"/>
          <w:lang w:val="en-US" w:eastAsia="zh-CN"/>
          <w14:textFill>
            <w14:solidFill>
              <w14:schemeClr w14:val="tx1"/>
            </w14:solidFill>
          </w14:textFill>
        </w:rPr>
        <w:t>15.5</w:t>
      </w:r>
      <w:r>
        <w:rPr>
          <w:rFonts w:hint="eastAsia" w:ascii="仿宋_GB2312" w:hAnsi="宋体" w:eastAsia="仿宋_GB2312"/>
          <w:bCs/>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规模以上工业增加值比上年增长</w:t>
      </w:r>
      <w:r>
        <w:rPr>
          <w:rFonts w:hint="eastAsia" w:ascii="仿宋" w:hAnsi="仿宋" w:eastAsia="仿宋" w:cs="仿宋"/>
          <w:color w:val="000000" w:themeColor="text1"/>
          <w:sz w:val="32"/>
          <w:szCs w:val="32"/>
          <w:lang w:val="en-US" w:eastAsia="zh-CN"/>
          <w14:textFill>
            <w14:solidFill>
              <w14:schemeClr w14:val="tx1"/>
            </w14:solidFill>
          </w14:textFill>
        </w:rPr>
        <w:t>8.5</w:t>
      </w:r>
      <w:r>
        <w:rPr>
          <w:rFonts w:hint="eastAsia" w:ascii="仿宋" w:hAnsi="仿宋" w:eastAsia="仿宋" w:cs="仿宋"/>
          <w:color w:val="000000" w:themeColor="text1"/>
          <w:sz w:val="32"/>
          <w:szCs w:val="32"/>
          <w14:textFill>
            <w14:solidFill>
              <w14:schemeClr w14:val="tx1"/>
            </w14:solidFill>
          </w14:textFill>
        </w:rPr>
        <w:t>%；产品销售率</w:t>
      </w:r>
      <w:r>
        <w:rPr>
          <w:rFonts w:hint="eastAsia" w:ascii="仿宋" w:hAnsi="仿宋" w:eastAsia="仿宋" w:cs="仿宋"/>
          <w:color w:val="000000" w:themeColor="text1"/>
          <w:sz w:val="32"/>
          <w:szCs w:val="32"/>
          <w:lang w:val="en-US" w:eastAsia="zh-CN"/>
          <w14:textFill>
            <w14:solidFill>
              <w14:schemeClr w14:val="tx1"/>
            </w14:solidFill>
          </w14:textFill>
        </w:rPr>
        <w:t>92.7</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宋体" w:eastAsia="仿宋_GB2312"/>
          <w:bCs/>
          <w:color w:val="000000" w:themeColor="text1"/>
          <w:sz w:val="32"/>
          <w:szCs w:val="32"/>
          <w:shd w:val="clear" w:color="auto" w:fill="FFFFFF"/>
          <w14:textFill>
            <w14:solidFill>
              <w14:schemeClr w14:val="tx1"/>
            </w14:solidFill>
          </w14:textFill>
        </w:rPr>
        <w:t>营业务收入比上年增长</w:t>
      </w:r>
      <w:r>
        <w:rPr>
          <w:rFonts w:hint="eastAsia" w:ascii="仿宋_GB2312" w:hAnsi="宋体" w:eastAsia="仿宋_GB2312"/>
          <w:bCs/>
          <w:color w:val="000000" w:themeColor="text1"/>
          <w:sz w:val="32"/>
          <w:szCs w:val="32"/>
          <w:shd w:val="clear" w:color="auto" w:fill="FFFFFF"/>
          <w:lang w:val="en-US" w:eastAsia="zh-CN"/>
          <w14:textFill>
            <w14:solidFill>
              <w14:schemeClr w14:val="tx1"/>
            </w14:solidFill>
          </w14:textFill>
        </w:rPr>
        <w:t>13.2</w:t>
      </w:r>
      <w:r>
        <w:rPr>
          <w:rFonts w:hint="eastAsia" w:ascii="仿宋_GB2312" w:hAnsi="宋体" w:eastAsia="仿宋_GB2312"/>
          <w:bCs/>
          <w:color w:val="000000" w:themeColor="text1"/>
          <w:sz w:val="32"/>
          <w:szCs w:val="32"/>
          <w:shd w:val="clear" w:color="auto" w:fill="FFFFFF"/>
          <w14:textFill>
            <w14:solidFill>
              <w14:schemeClr w14:val="tx1"/>
            </w14:solidFill>
          </w14:textFill>
        </w:rPr>
        <w:t>%；利润总额比上年</w:t>
      </w:r>
      <w:r>
        <w:rPr>
          <w:rFonts w:hint="eastAsia" w:ascii="仿宋_GB2312" w:hAnsi="宋体" w:eastAsia="仿宋_GB2312"/>
          <w:bCs/>
          <w:color w:val="000000" w:themeColor="text1"/>
          <w:sz w:val="32"/>
          <w:szCs w:val="32"/>
          <w:shd w:val="clear" w:color="auto" w:fill="FFFFFF"/>
          <w:lang w:val="en-US" w:eastAsia="zh-CN"/>
          <w14:textFill>
            <w14:solidFill>
              <w14:schemeClr w14:val="tx1"/>
            </w14:solidFill>
          </w14:textFill>
        </w:rPr>
        <w:t>下降10.8</w:t>
      </w:r>
      <w:r>
        <w:rPr>
          <w:rFonts w:hint="eastAsia" w:ascii="仿宋_GB2312" w:hAnsi="宋体" w:eastAsia="仿宋_GB2312"/>
          <w:bCs/>
          <w:color w:val="000000" w:themeColor="text1"/>
          <w:sz w:val="32"/>
          <w:szCs w:val="32"/>
          <w:shd w:val="clear" w:color="auto" w:fill="FFFFFF"/>
          <w14:textFill>
            <w14:solidFill>
              <w14:schemeClr w14:val="tx1"/>
            </w14:solidFill>
          </w14:textFill>
        </w:rPr>
        <w:t>%</w:t>
      </w:r>
      <w:r>
        <w:rPr>
          <w:rFonts w:hint="eastAsia" w:ascii="仿宋_GB2312" w:hAnsi="宋体" w:eastAsia="仿宋_GB2312"/>
          <w:bCs/>
          <w:color w:val="000000" w:themeColor="text1"/>
          <w:sz w:val="32"/>
          <w:szCs w:val="32"/>
          <w:shd w:val="clear" w:color="auto" w:fill="FFFFFF"/>
          <w:lang w:eastAsia="zh-CN"/>
          <w14:textFill>
            <w14:solidFill>
              <w14:schemeClr w14:val="tx1"/>
            </w14:solidFill>
          </w14:textFill>
        </w:rPr>
        <w:t>。</w:t>
      </w:r>
      <w:r>
        <w:rPr>
          <w:rFonts w:hint="eastAsia" w:ascii="仿宋_GB2312" w:hAnsi="宋体" w:eastAsia="仿宋_GB2312"/>
          <w:bCs/>
          <w:color w:val="000000" w:themeColor="text1"/>
          <w:sz w:val="32"/>
          <w:szCs w:val="32"/>
          <w:shd w:val="clear" w:color="auto" w:fill="FFFFFF"/>
          <w:lang w:val="en-US" w:eastAsia="zh-CN"/>
          <w14:textFill>
            <w14:solidFill>
              <w14:schemeClr w14:val="tx1"/>
            </w14:solidFill>
          </w14:textFill>
        </w:rPr>
        <w:t>制造业增加值占规模以上工业增加值99.6%</w:t>
      </w:r>
      <w:r>
        <w:rPr>
          <w:rFonts w:hint="eastAsia" w:ascii="仿宋_GB2312" w:hAnsi="宋体" w:eastAsia="仿宋_GB2312"/>
          <w:bCs/>
          <w:color w:val="000000" w:themeColor="text1"/>
          <w:sz w:val="32"/>
          <w:szCs w:val="32"/>
          <w:shd w:val="clear" w:color="auto" w:fill="FFFFFF"/>
          <w14:textFill>
            <w14:solidFill>
              <w14:schemeClr w14:val="tx1"/>
            </w14:solidFill>
          </w14:textFill>
        </w:rPr>
        <w:t>高新技术产业增加值占规模以上工业增加值</w:t>
      </w:r>
      <w:r>
        <w:rPr>
          <w:rFonts w:hint="eastAsia" w:ascii="仿宋_GB2312" w:hAnsi="宋体" w:eastAsia="仿宋_GB2312"/>
          <w:bCs/>
          <w:color w:val="000000" w:themeColor="text1"/>
          <w:sz w:val="32"/>
          <w:szCs w:val="32"/>
          <w:shd w:val="clear" w:color="auto" w:fill="FFFFFF"/>
          <w:lang w:val="en-US" w:eastAsia="zh-CN"/>
          <w14:textFill>
            <w14:solidFill>
              <w14:schemeClr w14:val="tx1"/>
            </w14:solidFill>
          </w14:textFill>
        </w:rPr>
        <w:t>96.5</w:t>
      </w:r>
      <w:r>
        <w:rPr>
          <w:rFonts w:hint="eastAsia" w:ascii="仿宋_GB2312" w:hAnsi="宋体" w:eastAsia="仿宋_GB2312"/>
          <w:bCs/>
          <w:color w:val="000000" w:themeColor="text1"/>
          <w:sz w:val="32"/>
          <w:szCs w:val="32"/>
          <w:shd w:val="clear" w:color="auto" w:fill="FFFFFF"/>
          <w14:textFill>
            <w14:solidFill>
              <w14:schemeClr w14:val="tx1"/>
            </w14:solidFill>
          </w14:textFill>
        </w:rPr>
        <w:t>%；高技术产业增加值占规模以上工业增加值的</w:t>
      </w:r>
      <w:r>
        <w:rPr>
          <w:rFonts w:hint="eastAsia" w:ascii="仿宋_GB2312" w:hAnsi="宋体" w:eastAsia="仿宋_GB2312"/>
          <w:bCs/>
          <w:color w:val="000000" w:themeColor="text1"/>
          <w:sz w:val="32"/>
          <w:szCs w:val="32"/>
          <w:shd w:val="clear" w:color="auto" w:fill="FFFFFF"/>
          <w:lang w:val="en-US" w:eastAsia="zh-CN"/>
          <w14:textFill>
            <w14:solidFill>
              <w14:schemeClr w14:val="tx1"/>
            </w14:solidFill>
          </w14:textFill>
        </w:rPr>
        <w:t>12.7</w:t>
      </w:r>
      <w:r>
        <w:rPr>
          <w:rFonts w:hint="eastAsia" w:ascii="仿宋_GB2312" w:hAnsi="宋体" w:eastAsia="仿宋_GB2312"/>
          <w:bCs/>
          <w:color w:val="000000" w:themeColor="text1"/>
          <w:sz w:val="32"/>
          <w:szCs w:val="32"/>
          <w:shd w:val="clear" w:color="auto" w:fill="FFFFFF"/>
          <w14:textFill>
            <w14:solidFill>
              <w14:schemeClr w14:val="tx1"/>
            </w14:solidFill>
          </w14:textFill>
        </w:rPr>
        <w:t>%；战略性新兴产业增加值</w:t>
      </w:r>
      <w:r>
        <w:rPr>
          <w:rFonts w:hint="eastAsia" w:ascii="仿宋" w:hAnsi="仿宋" w:eastAsia="仿宋" w:cs="仿宋"/>
          <w:color w:val="000000" w:themeColor="text1"/>
          <w:sz w:val="32"/>
          <w:szCs w:val="32"/>
          <w14:textFill>
            <w14:solidFill>
              <w14:schemeClr w14:val="tx1"/>
            </w14:solidFill>
          </w14:textFill>
        </w:rPr>
        <w:t>比上年</w:t>
      </w:r>
      <w:r>
        <w:rPr>
          <w:rFonts w:hint="eastAsia" w:ascii="仿宋_GB2312" w:hAnsi="宋体" w:eastAsia="仿宋_GB2312"/>
          <w:bCs/>
          <w:color w:val="000000" w:themeColor="text1"/>
          <w:sz w:val="32"/>
          <w:szCs w:val="32"/>
          <w:shd w:val="clear" w:color="auto" w:fill="FFFFFF"/>
          <w:lang w:eastAsia="zh-CN"/>
          <w14:textFill>
            <w14:solidFill>
              <w14:schemeClr w14:val="tx1"/>
            </w14:solidFill>
          </w14:textFill>
        </w:rPr>
        <w:t>增长</w:t>
      </w:r>
      <w:r>
        <w:rPr>
          <w:rFonts w:hint="eastAsia" w:ascii="仿宋_GB2312" w:hAnsi="宋体" w:eastAsia="仿宋_GB2312"/>
          <w:bCs/>
          <w:color w:val="000000" w:themeColor="text1"/>
          <w:sz w:val="32"/>
          <w:szCs w:val="32"/>
          <w:shd w:val="clear" w:color="auto" w:fill="FFFFFF"/>
          <w:lang w:val="en-US" w:eastAsia="zh-CN"/>
          <w14:textFill>
            <w14:solidFill>
              <w14:schemeClr w14:val="tx1"/>
            </w14:solidFill>
          </w14:textFill>
        </w:rPr>
        <w:t>12.5%</w:t>
      </w:r>
      <w:r>
        <w:rPr>
          <w:rFonts w:hint="eastAsia" w:ascii="仿宋_GB2312" w:hAnsi="宋体" w:eastAsia="仿宋_GB2312"/>
          <w:bCs/>
          <w:color w:val="000000" w:themeColor="text1"/>
          <w:sz w:val="32"/>
          <w:szCs w:val="32"/>
          <w:shd w:val="clear" w:color="auto" w:fill="FFFFFF"/>
          <w14:textFill>
            <w14:solidFill>
              <w14:schemeClr w14:val="tx1"/>
            </w14:solidFill>
          </w14:textFill>
        </w:rPr>
        <w:t>，占规模以上工业增加值的</w:t>
      </w:r>
      <w:r>
        <w:rPr>
          <w:rFonts w:hint="eastAsia" w:ascii="仿宋_GB2312" w:hAnsi="宋体" w:eastAsia="仿宋_GB2312"/>
          <w:bCs/>
          <w:color w:val="000000" w:themeColor="text1"/>
          <w:sz w:val="32"/>
          <w:szCs w:val="32"/>
          <w:shd w:val="clear" w:color="auto" w:fill="FFFFFF"/>
          <w:lang w:val="en-US" w:eastAsia="zh-CN"/>
          <w14:textFill>
            <w14:solidFill>
              <w14:schemeClr w14:val="tx1"/>
            </w14:solidFill>
          </w14:textFill>
        </w:rPr>
        <w:t>72.6</w:t>
      </w:r>
      <w:r>
        <w:rPr>
          <w:rFonts w:hint="eastAsia" w:ascii="仿宋_GB2312" w:hAnsi="宋体" w:eastAsia="仿宋_GB2312"/>
          <w:bCs/>
          <w:color w:val="000000" w:themeColor="text1"/>
          <w:sz w:val="32"/>
          <w:szCs w:val="32"/>
          <w:shd w:val="clear" w:color="auto" w:fill="FFFFFF"/>
          <w14:textFill>
            <w14:solidFill>
              <w14:schemeClr w14:val="tx1"/>
            </w14:solidFill>
          </w14:textFill>
        </w:rPr>
        <w:t>%</w:t>
      </w:r>
      <w:r>
        <w:rPr>
          <w:rFonts w:hint="eastAsia" w:ascii="仿宋_GB2312" w:hAnsi="宋体" w:eastAsia="仿宋_GB2312"/>
          <w:bCs/>
          <w:color w:val="000000" w:themeColor="text1"/>
          <w:sz w:val="32"/>
          <w:szCs w:val="32"/>
          <w:shd w:val="clear" w:color="auto" w:fill="FFFFFF"/>
          <w:lang w:eastAsia="zh-CN"/>
          <w14:textFill>
            <w14:solidFill>
              <w14:schemeClr w14:val="tx1"/>
            </w14:solidFill>
          </w14:textFill>
        </w:rPr>
        <w:t>。</w:t>
      </w:r>
    </w:p>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_GB2312" w:hAnsi="宋体" w:eastAsia="仿宋_GB2312"/>
          <w:bCs/>
          <w:color w:val="C00000"/>
          <w:sz w:val="32"/>
          <w:szCs w:val="32"/>
          <w:shd w:val="clear" w:color="auto" w:fill="FFFFFF"/>
          <w:lang w:val="en-US" w:eastAsia="zh-CN"/>
        </w:rPr>
      </w:pPr>
      <w:r>
        <w:drawing>
          <wp:anchor distT="0" distB="0" distL="114300" distR="114300" simplePos="0" relativeHeight="251661312" behindDoc="0" locked="0" layoutInCell="1" allowOverlap="1">
            <wp:simplePos x="0" y="0"/>
            <wp:positionH relativeFrom="column">
              <wp:posOffset>8890</wp:posOffset>
            </wp:positionH>
            <wp:positionV relativeFrom="paragraph">
              <wp:posOffset>158750</wp:posOffset>
            </wp:positionV>
            <wp:extent cx="5274310" cy="2609850"/>
            <wp:effectExtent l="4445" t="4445" r="17145" b="14605"/>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C00000"/>
          <w:sz w:val="32"/>
          <w:szCs w:val="32"/>
          <w:shd w:val="clear" w:color="auto" w:fill="FFFFFF"/>
          <w:lang w:val="en-US" w:eastAsia="zh-CN"/>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C00000"/>
          <w:sz w:val="32"/>
          <w:szCs w:val="32"/>
          <w:shd w:val="clear" w:color="auto" w:fill="FFFFFF"/>
          <w:lang w:val="en-US" w:eastAsia="zh-CN"/>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C00000"/>
          <w:sz w:val="32"/>
          <w:szCs w:val="32"/>
          <w:shd w:val="clear" w:color="auto" w:fill="FFFFFF"/>
          <w:lang w:val="en-US" w:eastAsia="zh-CN"/>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C00000"/>
          <w:sz w:val="32"/>
          <w:szCs w:val="32"/>
          <w:shd w:val="clear" w:color="auto" w:fill="FFFFFF"/>
          <w:lang w:val="en-US" w:eastAsia="zh-CN"/>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C00000"/>
          <w:sz w:val="32"/>
          <w:szCs w:val="32"/>
          <w:shd w:val="clear" w:color="auto" w:fill="FFFFFF"/>
          <w:lang w:val="en-US" w:eastAsia="zh-CN"/>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C00000"/>
          <w:sz w:val="32"/>
          <w:szCs w:val="32"/>
          <w:shd w:val="clear" w:color="auto" w:fill="FFFFFF"/>
          <w:lang w:val="en-US" w:eastAsia="zh-CN"/>
        </w:rPr>
      </w:pPr>
    </w:p>
    <w:p>
      <w:pPr>
        <w:pStyle w:val="7"/>
        <w:keepNext w:val="0"/>
        <w:keepLines w:val="0"/>
        <w:pageBreakBefore w:val="0"/>
        <w:widowControl/>
        <w:kinsoku/>
        <w:wordWrap/>
        <w:overflowPunct/>
        <w:topLinePunct w:val="0"/>
        <w:autoSpaceDE/>
        <w:autoSpaceDN/>
        <w:bidi w:val="0"/>
        <w:adjustRightInd/>
        <w:snapToGrid/>
        <w:spacing w:line="560" w:lineRule="exact"/>
        <w:jc w:val="both"/>
        <w:rPr>
          <w:rFonts w:hint="eastAsia" w:ascii="仿宋_GB2312" w:hAnsi="宋体" w:eastAsia="仿宋_GB2312"/>
          <w:bCs/>
          <w:color w:val="000000" w:themeColor="text1"/>
          <w:sz w:val="32"/>
          <w:szCs w:val="32"/>
          <w:shd w:val="clear" w:color="auto" w:fill="FFFFFF"/>
          <w:lang w:val="en-US" w:eastAsia="zh-CN"/>
          <w14:textFill>
            <w14:solidFill>
              <w14:schemeClr w14:val="tx1"/>
            </w14:solidFill>
          </w14:textFill>
        </w:rPr>
      </w:pPr>
    </w:p>
    <w:p>
      <w:pPr>
        <w:keepNext w:val="0"/>
        <w:keepLines w:val="0"/>
        <w:pageBreakBefore w:val="0"/>
        <w:widowControl/>
        <w:kinsoku/>
        <w:wordWrap/>
        <w:overflowPunct/>
        <w:topLinePunct w:val="0"/>
        <w:autoSpaceDE/>
        <w:bidi w:val="0"/>
        <w:snapToGrid/>
        <w:spacing w:line="560" w:lineRule="exact"/>
        <w:ind w:left="0" w:firstLine="640" w:firstLineChars="200"/>
        <w:jc w:val="both"/>
        <w:rPr>
          <w:rFonts w:hint="eastAsia" w:ascii="仿宋" w:hAnsi="仿宋" w:eastAsia="仿宋" w:cs="仿宋"/>
          <w:b w:val="0"/>
          <w:bCs/>
          <w:color w:val="C00000"/>
          <w:kern w:val="0"/>
          <w:sz w:val="28"/>
          <w:szCs w:val="28"/>
          <w:shd w:val="clear" w:color="auto" w:fill="FFFFFF"/>
        </w:rPr>
      </w:pPr>
      <w:r>
        <w:rPr>
          <w:rFonts w:hint="eastAsia" w:ascii="仿宋_GB2312" w:hAnsi="宋体" w:eastAsia="仿宋_GB2312" w:cs="Times New Roman"/>
          <w:bCs/>
          <w:color w:val="000000" w:themeColor="text1"/>
          <w:kern w:val="0"/>
          <w:sz w:val="32"/>
          <w:szCs w:val="32"/>
          <w:shd w:val="clear" w:color="auto" w:fill="FFFFFF"/>
          <w:lang w:val="en-US" w:eastAsia="zh-CN" w:bidi="ar-SA"/>
          <w14:textFill>
            <w14:solidFill>
              <w14:schemeClr w14:val="tx1"/>
            </w14:solidFill>
          </w14:textFill>
        </w:rPr>
        <w:t>2022年，区级规模以上工业主要分18个大类，全年规模以上工业企业主要工业产品产量：高岭土1.6万吨，比上年下降2.3%；饮料1.5万吨，下降29.8%；印染布1873万米，增长15.4%；硫酸52.2万吨，增长1.3%；盐酸9.8万吨，增长100%；烧碱20.1万吨，增长100%；稀土化合物288339千克，增长1619.3%；涂料4.2万吨，下降33.4%；化学试剂14.7万吨，下降4.4%；橡胶轮胎外胎230.2万条，增长40.0%；塑料制品0.7万吨，下降25.6%；商品混凝土29.5万立方米，下降43.1%；砖88万块，下降86.5%；耐火材料制品40.3万吨，下降3.6%；石墨及碳素制品3.8万吨，下降0.3%；铝合金5.7万吨，增长21.3%；金属包装容器0.1万吨，下降40.0%；锂离子电池1323.4万只，增长117.8%。</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pPr>
      <w:r>
        <w:rPr>
          <w:rFonts w:hint="eastAsia"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t>表2：2022年中站区规模以上工业主要产品产量及其增长速度</w:t>
      </w:r>
    </w:p>
    <w:tbl>
      <w:tblPr>
        <w:tblStyle w:val="8"/>
        <w:tblW w:w="8333"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786"/>
        <w:gridCol w:w="1485"/>
        <w:gridCol w:w="1920"/>
        <w:gridCol w:w="11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Borders>
              <w:top w:val="single" w:color="auto" w:sz="4" w:space="0"/>
            </w:tcBorders>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bCs/>
                <w:i w:val="0"/>
                <w:color w:val="000000" w:themeColor="text1"/>
                <w:sz w:val="28"/>
                <w:szCs w:val="28"/>
                <w:u w:val="none"/>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产品名称</w:t>
            </w:r>
          </w:p>
        </w:tc>
        <w:tc>
          <w:tcPr>
            <w:tcW w:w="1485" w:type="dxa"/>
            <w:tcBorders>
              <w:top w:val="single" w:color="auto" w:sz="4" w:space="0"/>
            </w:tcBorders>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bCs/>
                <w:i w:val="0"/>
                <w:color w:val="000000" w:themeColor="text1"/>
                <w:sz w:val="28"/>
                <w:szCs w:val="28"/>
                <w:u w:val="none"/>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单  位</w:t>
            </w:r>
          </w:p>
        </w:tc>
        <w:tc>
          <w:tcPr>
            <w:tcW w:w="1920" w:type="dxa"/>
            <w:tcBorders>
              <w:top w:val="single" w:color="auto" w:sz="4" w:space="0"/>
            </w:tcBorders>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bCs/>
                <w:i w:val="0"/>
                <w:color w:val="000000" w:themeColor="text1"/>
                <w:sz w:val="28"/>
                <w:szCs w:val="28"/>
                <w:u w:val="none"/>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产 量</w:t>
            </w:r>
          </w:p>
        </w:tc>
        <w:tc>
          <w:tcPr>
            <w:tcW w:w="1142" w:type="dxa"/>
            <w:tcBorders>
              <w:top w:val="single" w:color="auto" w:sz="4" w:space="0"/>
            </w:tcBorders>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bCs/>
                <w:i w:val="0"/>
                <w:color w:val="000000" w:themeColor="text1"/>
                <w:sz w:val="28"/>
                <w:szCs w:val="28"/>
                <w:u w:val="none"/>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增长</w:t>
            </w:r>
            <w:r>
              <w:rPr>
                <w:rStyle w:val="16"/>
                <w:rFonts w:hint="eastAsia" w:ascii="仿宋" w:hAnsi="仿宋" w:eastAsia="仿宋" w:cs="仿宋"/>
                <w:b/>
                <w:bCs/>
                <w:color w:val="000000" w:themeColor="text1"/>
                <w:sz w:val="28"/>
                <w:szCs w:val="28"/>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高岭土（瓷土）</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1.6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-2.3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饮料</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1.5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-29.8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印染布</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万米</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1873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15.4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硫酸（折100％）</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52.2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1.3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盐酸（氯化氢，含量31％）</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9.8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烧碱（折100％）</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20.1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稀土化合物</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千克</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288339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1619.3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涂料</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4.2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-33.4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化学试剂</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14.7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-4.4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橡胶轮胎外胎</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万条</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230.2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40.0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塑料制品</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0.7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-25.6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商品混凝土</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万立方米</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29.5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-43.1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砖</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万块</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88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-86.5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耐火材料制品</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40.3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-3.6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石墨及碳素制品</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3.8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-0.3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铝合金</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万吨</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5.7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21.3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金属包装容器</w:t>
            </w:r>
          </w:p>
        </w:tc>
        <w:tc>
          <w:tcPr>
            <w:tcW w:w="1485" w:type="dxa"/>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themeColor="text1"/>
                <w:sz w:val="28"/>
                <w:szCs w:val="28"/>
                <w:u w:val="none"/>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万块</w:t>
            </w:r>
          </w:p>
        </w:tc>
        <w:tc>
          <w:tcPr>
            <w:tcW w:w="1920" w:type="dxa"/>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0.1 </w:t>
            </w:r>
          </w:p>
        </w:tc>
        <w:tc>
          <w:tcPr>
            <w:tcW w:w="1142" w:type="dxa"/>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-40.0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Borders>
              <w:bottom w:val="single" w:color="auto" w:sz="4" w:space="0"/>
            </w:tcBorders>
            <w:tcMar>
              <w:top w:w="15" w:type="dxa"/>
              <w:left w:w="15" w:type="dxa"/>
              <w:right w:w="15" w:type="dxa"/>
            </w:tcMar>
            <w:vAlign w:val="center"/>
          </w:tcPr>
          <w:p>
            <w:pPr>
              <w:keepNext w:val="0"/>
              <w:keepLines w:val="0"/>
              <w:widowControl/>
              <w:suppressLineNumbers w:val="0"/>
              <w:jc w:val="lef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锂离子电池（只）</w:t>
            </w:r>
          </w:p>
        </w:tc>
        <w:tc>
          <w:tcPr>
            <w:tcW w:w="1485" w:type="dxa"/>
            <w:tcBorders>
              <w:bottom w:val="single" w:color="auto" w:sz="4" w:space="0"/>
            </w:tcBorders>
            <w:tcMar>
              <w:top w:w="15" w:type="dxa"/>
              <w:left w:w="15" w:type="dxa"/>
              <w:right w:w="15" w:type="dxa"/>
            </w:tcMar>
            <w:vAlign w:val="bottom"/>
          </w:tcPr>
          <w:p>
            <w:pPr>
              <w:keepNext w:val="0"/>
              <w:keepLines w:val="0"/>
              <w:widowControl/>
              <w:suppressLineNumbers w:val="0"/>
              <w:jc w:val="center"/>
              <w:textAlignment w:val="bottom"/>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万只</w:t>
            </w:r>
          </w:p>
        </w:tc>
        <w:tc>
          <w:tcPr>
            <w:tcW w:w="1920" w:type="dxa"/>
            <w:tcBorders>
              <w:bottom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b w:val="0"/>
                <w:bCs w:val="0"/>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8"/>
                <w:szCs w:val="28"/>
                <w:u w:val="none"/>
                <w:lang w:val="en-US" w:eastAsia="zh-CN" w:bidi="ar"/>
                <w14:textFill>
                  <w14:solidFill>
                    <w14:schemeClr w14:val="tx1"/>
                  </w14:solidFill>
                </w14:textFill>
              </w:rPr>
              <w:t xml:space="preserve">1323.4 </w:t>
            </w:r>
          </w:p>
        </w:tc>
        <w:tc>
          <w:tcPr>
            <w:tcW w:w="1142" w:type="dxa"/>
            <w:tcBorders>
              <w:bottom w:val="single" w:color="auto" w:sz="4" w:space="0"/>
            </w:tcBorders>
            <w:tcMar>
              <w:top w:w="15" w:type="dxa"/>
              <w:left w:w="15" w:type="dxa"/>
              <w:right w:w="15" w:type="dxa"/>
            </w:tcMar>
            <w:vAlign w:val="center"/>
          </w:tcPr>
          <w:p>
            <w:pPr>
              <w:keepNext w:val="0"/>
              <w:keepLines w:val="0"/>
              <w:widowControl/>
              <w:suppressLineNumbers w:val="0"/>
              <w:jc w:val="right"/>
              <w:textAlignment w:val="bottom"/>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117.8 </w:t>
            </w:r>
          </w:p>
        </w:tc>
      </w:tr>
    </w:tbl>
    <w:p>
      <w:pPr>
        <w:pStyle w:val="7"/>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仿宋"/>
          <w:color w:val="C00000"/>
          <w:sz w:val="32"/>
          <w:szCs w:val="32"/>
        </w:rPr>
      </w:pP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全年全区建筑业总产值比上年增长</w:t>
      </w:r>
      <w:r>
        <w:rPr>
          <w:rFonts w:hint="eastAsia" w:ascii="仿宋" w:hAnsi="仿宋" w:eastAsia="仿宋" w:cs="仿宋"/>
          <w:color w:val="000000" w:themeColor="text1"/>
          <w:sz w:val="32"/>
          <w:szCs w:val="32"/>
          <w:lang w:val="en-US" w:eastAsia="zh-CN"/>
          <w14:textFill>
            <w14:solidFill>
              <w14:schemeClr w14:val="tx1"/>
            </w14:solidFill>
          </w14:textFill>
        </w:rPr>
        <w:t>22.3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2" w:firstLineChars="200"/>
        <w:jc w:val="both"/>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服务业</w:t>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
          <w:color w:val="C0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全年全</w:t>
      </w:r>
      <w:r>
        <w:rPr>
          <w:rFonts w:hint="eastAsia" w:ascii="仿宋" w:hAnsi="仿宋" w:eastAsia="仿宋" w:cs="仿宋"/>
          <w:color w:val="000000" w:themeColor="text1"/>
          <w:sz w:val="32"/>
          <w:szCs w:val="32"/>
          <w:lang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批发和零售业增加值</w:t>
      </w:r>
      <w:r>
        <w:rPr>
          <w:rFonts w:hint="eastAsia" w:ascii="仿宋" w:hAnsi="仿宋" w:eastAsia="仿宋" w:cs="仿宋"/>
          <w:color w:val="000000" w:themeColor="text1"/>
          <w:sz w:val="32"/>
          <w:szCs w:val="32"/>
          <w:lang w:val="en-US" w:eastAsia="zh-CN"/>
          <w14:textFill>
            <w14:solidFill>
              <w14:schemeClr w14:val="tx1"/>
            </w14:solidFill>
          </w14:textFill>
        </w:rPr>
        <w:t>6.45</w:t>
      </w:r>
      <w:r>
        <w:rPr>
          <w:rFonts w:hint="eastAsia" w:ascii="仿宋" w:hAnsi="仿宋" w:eastAsia="仿宋" w:cs="仿宋"/>
          <w:color w:val="000000" w:themeColor="text1"/>
          <w:sz w:val="32"/>
          <w:szCs w:val="32"/>
          <w14:textFill>
            <w14:solidFill>
              <w14:schemeClr w14:val="tx1"/>
            </w14:solidFill>
          </w14:textFill>
        </w:rPr>
        <w:t>亿元，比上年</w:t>
      </w:r>
      <w:r>
        <w:rPr>
          <w:rFonts w:hint="eastAsia" w:ascii="仿宋" w:hAnsi="仿宋" w:eastAsia="仿宋" w:cs="仿宋"/>
          <w:color w:val="000000" w:themeColor="text1"/>
          <w:sz w:val="32"/>
          <w:szCs w:val="32"/>
          <w:lang w:val="en-US" w:eastAsia="zh-CN"/>
          <w14:textFill>
            <w14:solidFill>
              <w14:schemeClr w14:val="tx1"/>
            </w14:solidFill>
          </w14:textFill>
        </w:rPr>
        <w:t>下降3.8</w:t>
      </w:r>
      <w:r>
        <w:rPr>
          <w:rFonts w:hint="eastAsia" w:ascii="仿宋" w:hAnsi="仿宋" w:eastAsia="仿宋" w:cs="仿宋"/>
          <w:color w:val="000000" w:themeColor="text1"/>
          <w:sz w:val="32"/>
          <w:szCs w:val="32"/>
          <w14:textFill>
            <w14:solidFill>
              <w14:schemeClr w14:val="tx1"/>
            </w14:solidFill>
          </w14:textFill>
        </w:rPr>
        <w:t>%；交通运输、仓储和邮政业增加值</w:t>
      </w:r>
      <w:r>
        <w:rPr>
          <w:rFonts w:hint="eastAsia" w:ascii="仿宋" w:hAnsi="仿宋" w:eastAsia="仿宋" w:cs="仿宋"/>
          <w:color w:val="000000" w:themeColor="text1"/>
          <w:sz w:val="32"/>
          <w:szCs w:val="32"/>
          <w:lang w:val="en-US" w:eastAsia="zh-CN"/>
          <w14:textFill>
            <w14:solidFill>
              <w14:schemeClr w14:val="tx1"/>
            </w14:solidFill>
          </w14:textFill>
        </w:rPr>
        <w:t>5.93</w:t>
      </w:r>
      <w:r>
        <w:rPr>
          <w:rFonts w:hint="eastAsia" w:ascii="仿宋" w:hAnsi="仿宋" w:eastAsia="仿宋" w:cs="仿宋"/>
          <w:color w:val="000000" w:themeColor="text1"/>
          <w:sz w:val="32"/>
          <w:szCs w:val="32"/>
          <w14:textFill>
            <w14:solidFill>
              <w14:schemeClr w14:val="tx1"/>
            </w14:solidFill>
          </w14:textFill>
        </w:rPr>
        <w:t>亿元，</w:t>
      </w:r>
      <w:r>
        <w:rPr>
          <w:rFonts w:hint="eastAsia" w:ascii="仿宋" w:hAnsi="仿宋" w:eastAsia="仿宋" w:cs="仿宋"/>
          <w:color w:val="000000" w:themeColor="text1"/>
          <w:sz w:val="32"/>
          <w:szCs w:val="32"/>
          <w:lang w:val="en-US" w:eastAsia="zh-CN"/>
          <w14:textFill>
            <w14:solidFill>
              <w14:schemeClr w14:val="tx1"/>
            </w14:solidFill>
          </w14:textFill>
        </w:rPr>
        <w:t>下降1.6</w:t>
      </w:r>
      <w:r>
        <w:rPr>
          <w:rFonts w:hint="eastAsia" w:ascii="仿宋" w:hAnsi="仿宋" w:eastAsia="仿宋" w:cs="仿宋"/>
          <w:color w:val="000000" w:themeColor="text1"/>
          <w:sz w:val="32"/>
          <w:szCs w:val="32"/>
          <w14:textFill>
            <w14:solidFill>
              <w14:schemeClr w14:val="tx1"/>
            </w14:solidFill>
          </w14:textFill>
        </w:rPr>
        <w:t>%；住宿和餐饮业增加值</w:t>
      </w:r>
      <w:r>
        <w:rPr>
          <w:rFonts w:hint="eastAsia" w:ascii="仿宋" w:hAnsi="仿宋" w:eastAsia="仿宋" w:cs="仿宋"/>
          <w:color w:val="000000" w:themeColor="text1"/>
          <w:sz w:val="32"/>
          <w:szCs w:val="32"/>
          <w:lang w:val="en-US" w:eastAsia="zh-CN"/>
          <w14:textFill>
            <w14:solidFill>
              <w14:schemeClr w14:val="tx1"/>
            </w14:solidFill>
          </w14:textFill>
        </w:rPr>
        <w:t>0.94</w:t>
      </w:r>
      <w:r>
        <w:rPr>
          <w:rFonts w:hint="eastAsia" w:ascii="仿宋" w:hAnsi="仿宋" w:eastAsia="仿宋" w:cs="仿宋"/>
          <w:color w:val="000000" w:themeColor="text1"/>
          <w:sz w:val="32"/>
          <w:szCs w:val="32"/>
          <w14:textFill>
            <w14:solidFill>
              <w14:schemeClr w14:val="tx1"/>
            </w14:solidFill>
          </w14:textFill>
        </w:rPr>
        <w:t>亿元，</w:t>
      </w:r>
      <w:r>
        <w:rPr>
          <w:rFonts w:hint="eastAsia" w:ascii="仿宋" w:hAnsi="仿宋" w:eastAsia="仿宋" w:cs="仿宋"/>
          <w:color w:val="000000" w:themeColor="text1"/>
          <w:sz w:val="32"/>
          <w:szCs w:val="32"/>
          <w:lang w:val="en-US" w:eastAsia="zh-CN"/>
          <w14:textFill>
            <w14:solidFill>
              <w14:schemeClr w14:val="tx1"/>
            </w14:solidFill>
          </w14:textFill>
        </w:rPr>
        <w:t>下降7.8</w:t>
      </w:r>
      <w:r>
        <w:rPr>
          <w:rFonts w:hint="eastAsia" w:ascii="仿宋" w:hAnsi="仿宋" w:eastAsia="仿宋" w:cs="仿宋"/>
          <w:color w:val="000000" w:themeColor="text1"/>
          <w:sz w:val="32"/>
          <w:szCs w:val="32"/>
          <w14:textFill>
            <w14:solidFill>
              <w14:schemeClr w14:val="tx1"/>
            </w14:solidFill>
          </w14:textFill>
        </w:rPr>
        <w:t>%；金融业增加值</w:t>
      </w:r>
      <w:r>
        <w:rPr>
          <w:rFonts w:hint="eastAsia" w:ascii="仿宋" w:hAnsi="仿宋" w:eastAsia="仿宋" w:cs="仿宋"/>
          <w:color w:val="000000" w:themeColor="text1"/>
          <w:sz w:val="32"/>
          <w:szCs w:val="32"/>
          <w:lang w:val="en-US" w:eastAsia="zh-CN"/>
          <w14:textFill>
            <w14:solidFill>
              <w14:schemeClr w14:val="tx1"/>
            </w14:solidFill>
          </w14:textFill>
        </w:rPr>
        <w:t>2.38</w:t>
      </w:r>
      <w:r>
        <w:rPr>
          <w:rFonts w:hint="eastAsia" w:ascii="仿宋" w:hAnsi="仿宋" w:eastAsia="仿宋" w:cs="仿宋"/>
          <w:color w:val="000000" w:themeColor="text1"/>
          <w:sz w:val="32"/>
          <w:szCs w:val="32"/>
          <w14:textFill>
            <w14:solidFill>
              <w14:schemeClr w14:val="tx1"/>
            </w14:solidFill>
          </w14:textFill>
        </w:rPr>
        <w:t>亿元，</w:t>
      </w:r>
      <w:r>
        <w:rPr>
          <w:rFonts w:hint="eastAsia" w:ascii="仿宋" w:hAnsi="仿宋" w:eastAsia="仿宋" w:cs="仿宋"/>
          <w:color w:val="000000" w:themeColor="text1"/>
          <w:sz w:val="32"/>
          <w:szCs w:val="32"/>
          <w:lang w:eastAsia="zh-CN"/>
          <w14:textFill>
            <w14:solidFill>
              <w14:schemeClr w14:val="tx1"/>
            </w14:solidFill>
          </w14:textFill>
        </w:rPr>
        <w:t>下降</w:t>
      </w:r>
      <w:r>
        <w:rPr>
          <w:rFonts w:hint="eastAsia" w:ascii="仿宋" w:hAnsi="仿宋" w:eastAsia="仿宋" w:cs="仿宋"/>
          <w:color w:val="000000" w:themeColor="text1"/>
          <w:sz w:val="32"/>
          <w:szCs w:val="32"/>
          <w:lang w:val="en-US" w:eastAsia="zh-CN"/>
          <w14:textFill>
            <w14:solidFill>
              <w14:schemeClr w14:val="tx1"/>
            </w14:solidFill>
          </w14:textFill>
        </w:rPr>
        <w:t>3.8</w:t>
      </w:r>
      <w:r>
        <w:rPr>
          <w:rFonts w:hint="eastAsia" w:ascii="仿宋" w:hAnsi="仿宋" w:eastAsia="仿宋" w:cs="仿宋"/>
          <w:color w:val="000000" w:themeColor="text1"/>
          <w:sz w:val="32"/>
          <w:szCs w:val="32"/>
          <w14:textFill>
            <w14:solidFill>
              <w14:schemeClr w14:val="tx1"/>
            </w14:solidFill>
          </w14:textFill>
        </w:rPr>
        <w:t>%；房地产业增加值</w:t>
      </w:r>
      <w:r>
        <w:rPr>
          <w:rFonts w:hint="eastAsia" w:ascii="仿宋" w:hAnsi="仿宋" w:eastAsia="仿宋" w:cs="仿宋"/>
          <w:color w:val="000000" w:themeColor="text1"/>
          <w:sz w:val="32"/>
          <w:szCs w:val="32"/>
          <w:lang w:val="en-US" w:eastAsia="zh-CN"/>
          <w14:textFill>
            <w14:solidFill>
              <w14:schemeClr w14:val="tx1"/>
            </w14:solidFill>
          </w14:textFill>
        </w:rPr>
        <w:t>2.43</w:t>
      </w:r>
      <w:r>
        <w:rPr>
          <w:rFonts w:hint="eastAsia" w:ascii="仿宋" w:hAnsi="仿宋" w:eastAsia="仿宋" w:cs="仿宋"/>
          <w:color w:val="000000" w:themeColor="text1"/>
          <w:sz w:val="32"/>
          <w:szCs w:val="32"/>
          <w14:textFill>
            <w14:solidFill>
              <w14:schemeClr w14:val="tx1"/>
            </w14:solidFill>
          </w14:textFill>
        </w:rPr>
        <w:t>亿元，增长</w:t>
      </w:r>
      <w:r>
        <w:rPr>
          <w:rFonts w:hint="eastAsia" w:ascii="仿宋" w:hAnsi="仿宋" w:eastAsia="仿宋" w:cs="仿宋"/>
          <w:color w:val="000000" w:themeColor="text1"/>
          <w:sz w:val="32"/>
          <w:szCs w:val="32"/>
          <w:lang w:val="en-US" w:eastAsia="zh-CN"/>
          <w14:textFill>
            <w14:solidFill>
              <w14:schemeClr w14:val="tx1"/>
            </w14:solidFill>
          </w14:textFill>
        </w:rPr>
        <w:t>5.1</w:t>
      </w:r>
      <w:r>
        <w:rPr>
          <w:rFonts w:hint="eastAsia" w:ascii="仿宋" w:hAnsi="仿宋" w:eastAsia="仿宋" w:cs="仿宋"/>
          <w:color w:val="000000" w:themeColor="text1"/>
          <w:sz w:val="32"/>
          <w:szCs w:val="32"/>
          <w14:textFill>
            <w14:solidFill>
              <w14:schemeClr w14:val="tx1"/>
            </w14:solidFill>
          </w14:textFill>
        </w:rPr>
        <w:t>%；信息传输、软件和信息技术服务业增加值</w:t>
      </w:r>
      <w:r>
        <w:rPr>
          <w:rFonts w:hint="eastAsia" w:ascii="仿宋" w:hAnsi="仿宋" w:eastAsia="仿宋" w:cs="仿宋"/>
          <w:color w:val="000000" w:themeColor="text1"/>
          <w:sz w:val="32"/>
          <w:szCs w:val="32"/>
          <w:lang w:val="en-US" w:eastAsia="zh-CN"/>
          <w14:textFill>
            <w14:solidFill>
              <w14:schemeClr w14:val="tx1"/>
            </w14:solidFill>
          </w14:textFill>
        </w:rPr>
        <w:t>2.91</w:t>
      </w:r>
      <w:r>
        <w:rPr>
          <w:rFonts w:hint="eastAsia" w:ascii="仿宋" w:hAnsi="仿宋" w:eastAsia="仿宋" w:cs="仿宋"/>
          <w:color w:val="000000" w:themeColor="text1"/>
          <w:sz w:val="32"/>
          <w:szCs w:val="32"/>
          <w14:textFill>
            <w14:solidFill>
              <w14:schemeClr w14:val="tx1"/>
            </w14:solidFill>
          </w14:textFill>
        </w:rPr>
        <w:t>亿元，</w:t>
      </w:r>
      <w:r>
        <w:rPr>
          <w:rFonts w:hint="eastAsia" w:ascii="仿宋" w:hAnsi="仿宋" w:eastAsia="仿宋" w:cs="仿宋"/>
          <w:color w:val="000000" w:themeColor="text1"/>
          <w:sz w:val="32"/>
          <w:szCs w:val="32"/>
          <w:lang w:val="en-US" w:eastAsia="zh-CN"/>
          <w14:textFill>
            <w14:solidFill>
              <w14:schemeClr w14:val="tx1"/>
            </w14:solidFill>
          </w14:textFill>
        </w:rPr>
        <w:t>下降14.3</w:t>
      </w:r>
      <w:r>
        <w:rPr>
          <w:rFonts w:hint="eastAsia" w:ascii="仿宋" w:hAnsi="仿宋" w:eastAsia="仿宋" w:cs="仿宋"/>
          <w:color w:val="000000" w:themeColor="text1"/>
          <w:sz w:val="32"/>
          <w:szCs w:val="32"/>
          <w14:textFill>
            <w14:solidFill>
              <w14:schemeClr w14:val="tx1"/>
            </w14:solidFill>
          </w14:textFill>
        </w:rPr>
        <w:t>%；全年规模以上服务业企业营业收入9579亿元，比上年</w:t>
      </w:r>
      <w:r>
        <w:rPr>
          <w:rFonts w:hint="eastAsia" w:ascii="仿宋" w:hAnsi="仿宋" w:eastAsia="仿宋" w:cs="仿宋"/>
          <w:color w:val="000000" w:themeColor="text1"/>
          <w:sz w:val="32"/>
          <w:szCs w:val="32"/>
          <w:lang w:val="en-US" w:eastAsia="zh-CN"/>
          <w14:textFill>
            <w14:solidFill>
              <w14:schemeClr w14:val="tx1"/>
            </w14:solidFill>
          </w14:textFill>
        </w:rPr>
        <w:t>下降</w:t>
      </w:r>
      <w:r>
        <w:rPr>
          <w:rFonts w:hint="eastAsia" w:ascii="仿宋" w:hAnsi="仿宋" w:eastAsia="仿宋" w:cs="仿宋"/>
          <w:color w:val="000000" w:themeColor="text1"/>
          <w:sz w:val="32"/>
          <w:szCs w:val="32"/>
          <w14:textFill>
            <w14:solidFill>
              <w14:schemeClr w14:val="tx1"/>
            </w14:solidFill>
          </w14:textFill>
        </w:rPr>
        <w:t>9.33%。</w:t>
      </w: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五、固定资产投资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C0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全年</w:t>
      </w:r>
      <w:r>
        <w:rPr>
          <w:rFonts w:hint="eastAsia" w:ascii="仿宋" w:hAnsi="仿宋" w:eastAsia="仿宋" w:cs="仿宋"/>
          <w:color w:val="000000" w:themeColor="text1"/>
          <w:sz w:val="32"/>
          <w:szCs w:val="32"/>
          <w:lang w:eastAsia="zh-CN"/>
          <w14:textFill>
            <w14:solidFill>
              <w14:schemeClr w14:val="tx1"/>
            </w14:solidFill>
          </w14:textFill>
        </w:rPr>
        <w:t>全区</w:t>
      </w:r>
      <w:r>
        <w:rPr>
          <w:rFonts w:hint="eastAsia" w:ascii="仿宋" w:hAnsi="仿宋" w:eastAsia="仿宋" w:cs="仿宋"/>
          <w:color w:val="000000" w:themeColor="text1"/>
          <w:sz w:val="32"/>
          <w:szCs w:val="32"/>
          <w14:textFill>
            <w14:solidFill>
              <w14:schemeClr w14:val="tx1"/>
            </w14:solidFill>
          </w14:textFill>
        </w:rPr>
        <w:t>固定资产投资（不含农户）比上年增长</w:t>
      </w:r>
      <w:r>
        <w:rPr>
          <w:rFonts w:hint="eastAsia" w:ascii="仿宋" w:hAnsi="仿宋" w:eastAsia="仿宋" w:cs="仿宋"/>
          <w:color w:val="000000" w:themeColor="text1"/>
          <w:sz w:val="32"/>
          <w:szCs w:val="32"/>
          <w:lang w:val="en-US" w:eastAsia="zh-CN"/>
          <w14:textFill>
            <w14:solidFill>
              <w14:schemeClr w14:val="tx1"/>
            </w14:solidFill>
          </w14:textFill>
        </w:rPr>
        <w:t>14.9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，其中：第一产业投资</w:t>
      </w:r>
      <w:r>
        <w:rPr>
          <w:rFonts w:hint="eastAsia" w:ascii="仿宋" w:hAnsi="仿宋" w:eastAsia="仿宋" w:cs="仿宋"/>
          <w:color w:val="000000" w:themeColor="text1"/>
          <w:sz w:val="32"/>
          <w:szCs w:val="32"/>
          <w:lang w:val="en-US" w:eastAsia="zh-CN"/>
          <w14:textFill>
            <w14:solidFill>
              <w14:schemeClr w14:val="tx1"/>
            </w14:solidFill>
          </w14:textFill>
        </w:rPr>
        <w:t>增长420.3%</w:t>
      </w:r>
      <w:r>
        <w:rPr>
          <w:rFonts w:hint="eastAsia" w:ascii="仿宋" w:hAnsi="仿宋" w:eastAsia="仿宋" w:cs="仿宋"/>
          <w:color w:val="000000" w:themeColor="text1"/>
          <w:sz w:val="32"/>
          <w:szCs w:val="32"/>
          <w14:textFill>
            <w14:solidFill>
              <w14:schemeClr w14:val="tx1"/>
            </w14:solidFill>
          </w14:textFill>
        </w:rPr>
        <w:t>，第二产业投资增长</w:t>
      </w:r>
      <w:r>
        <w:rPr>
          <w:rFonts w:hint="eastAsia" w:ascii="仿宋" w:hAnsi="仿宋" w:eastAsia="仿宋" w:cs="仿宋"/>
          <w:color w:val="000000" w:themeColor="text1"/>
          <w:sz w:val="32"/>
          <w:szCs w:val="32"/>
          <w:lang w:val="en-US" w:eastAsia="zh-CN"/>
          <w14:textFill>
            <w14:solidFill>
              <w14:schemeClr w14:val="tx1"/>
            </w14:solidFill>
          </w14:textFill>
        </w:rPr>
        <w:t>12.8%</w:t>
      </w:r>
      <w:r>
        <w:rPr>
          <w:rFonts w:hint="eastAsia" w:ascii="仿宋" w:hAnsi="仿宋" w:eastAsia="仿宋" w:cs="仿宋"/>
          <w:color w:val="000000" w:themeColor="text1"/>
          <w:sz w:val="32"/>
          <w:szCs w:val="32"/>
          <w14:textFill>
            <w14:solidFill>
              <w14:schemeClr w14:val="tx1"/>
            </w14:solidFill>
          </w14:textFill>
        </w:rPr>
        <w:t>，第三产业投资</w:t>
      </w:r>
      <w:r>
        <w:rPr>
          <w:rFonts w:hint="eastAsia" w:ascii="仿宋" w:hAnsi="仿宋" w:eastAsia="仿宋" w:cs="仿宋"/>
          <w:color w:val="000000" w:themeColor="text1"/>
          <w:sz w:val="32"/>
          <w:szCs w:val="32"/>
          <w:lang w:val="en-US" w:eastAsia="zh-CN"/>
          <w14:textFill>
            <w14:solidFill>
              <w14:schemeClr w14:val="tx1"/>
            </w14:solidFill>
          </w14:textFill>
        </w:rPr>
        <w:t>增长20.5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工业投资</w:t>
      </w:r>
      <w:r>
        <w:rPr>
          <w:rFonts w:hint="eastAsia" w:ascii="仿宋" w:hAnsi="仿宋" w:eastAsia="仿宋" w:cs="仿宋"/>
          <w:color w:val="000000" w:themeColor="text1"/>
          <w:sz w:val="32"/>
          <w:szCs w:val="32"/>
          <w14:textFill>
            <w14:solidFill>
              <w14:schemeClr w14:val="tx1"/>
            </w14:solidFill>
          </w14:textFill>
        </w:rPr>
        <w:t>比上年</w:t>
      </w:r>
      <w:r>
        <w:rPr>
          <w:rFonts w:hint="eastAsia" w:ascii="仿宋" w:hAnsi="仿宋" w:eastAsia="仿宋" w:cs="仿宋"/>
          <w:color w:val="000000" w:themeColor="text1"/>
          <w:sz w:val="32"/>
          <w:szCs w:val="32"/>
          <w:lang w:eastAsia="zh-CN"/>
          <w14:textFill>
            <w14:solidFill>
              <w14:schemeClr w14:val="tx1"/>
            </w14:solidFill>
          </w14:textFill>
        </w:rPr>
        <w:t>增长</w:t>
      </w:r>
      <w:r>
        <w:rPr>
          <w:rFonts w:hint="eastAsia" w:ascii="仿宋" w:hAnsi="仿宋" w:eastAsia="仿宋" w:cs="仿宋"/>
          <w:color w:val="000000" w:themeColor="text1"/>
          <w:sz w:val="32"/>
          <w:szCs w:val="32"/>
          <w:lang w:val="en-US" w:eastAsia="zh-CN"/>
          <w14:textFill>
            <w14:solidFill>
              <w14:schemeClr w14:val="tx1"/>
            </w14:solidFill>
          </w14:textFill>
        </w:rPr>
        <w:t>12.8%，占固定资产投资77.6%；基础设施投资</w:t>
      </w:r>
      <w:r>
        <w:rPr>
          <w:rFonts w:hint="eastAsia" w:ascii="仿宋" w:hAnsi="仿宋" w:eastAsia="仿宋" w:cs="仿宋"/>
          <w:color w:val="000000" w:themeColor="text1"/>
          <w:sz w:val="32"/>
          <w:szCs w:val="32"/>
          <w14:textFill>
            <w14:solidFill>
              <w14:schemeClr w14:val="tx1"/>
            </w14:solidFill>
          </w14:textFill>
        </w:rPr>
        <w:t>比上年</w:t>
      </w:r>
      <w:r>
        <w:rPr>
          <w:rFonts w:hint="eastAsia" w:ascii="仿宋" w:hAnsi="仿宋" w:eastAsia="仿宋" w:cs="仿宋"/>
          <w:color w:val="000000" w:themeColor="text1"/>
          <w:sz w:val="32"/>
          <w:szCs w:val="32"/>
          <w:lang w:val="en-US" w:eastAsia="zh-CN"/>
          <w14:textFill>
            <w14:solidFill>
              <w14:schemeClr w14:val="tx1"/>
            </w14:solidFill>
          </w14:textFill>
        </w:rPr>
        <w:t>增长370.7%，占固定资产投资7.6%；</w:t>
      </w:r>
      <w:r>
        <w:rPr>
          <w:rFonts w:hint="eastAsia" w:ascii="仿宋" w:hAnsi="仿宋" w:eastAsia="仿宋" w:cs="仿宋"/>
          <w:color w:val="000000" w:themeColor="text1"/>
          <w:sz w:val="32"/>
          <w:szCs w:val="32"/>
          <w14:textFill>
            <w14:solidFill>
              <w14:schemeClr w14:val="tx1"/>
            </w14:solidFill>
          </w14:textFill>
        </w:rPr>
        <w:t>民间投资比上年</w:t>
      </w:r>
      <w:r>
        <w:rPr>
          <w:rFonts w:hint="eastAsia" w:ascii="仿宋" w:hAnsi="仿宋" w:eastAsia="仿宋" w:cs="仿宋"/>
          <w:color w:val="000000" w:themeColor="text1"/>
          <w:sz w:val="32"/>
          <w:szCs w:val="32"/>
          <w:lang w:eastAsia="zh-CN"/>
          <w14:textFill>
            <w14:solidFill>
              <w14:schemeClr w14:val="tx1"/>
            </w14:solidFill>
          </w14:textFill>
        </w:rPr>
        <w:t>增长</w:t>
      </w:r>
      <w:r>
        <w:rPr>
          <w:rFonts w:hint="eastAsia" w:ascii="仿宋" w:hAnsi="仿宋" w:eastAsia="仿宋" w:cs="仿宋"/>
          <w:color w:val="000000" w:themeColor="text1"/>
          <w:sz w:val="32"/>
          <w:szCs w:val="32"/>
          <w:lang w:val="en-US" w:eastAsia="zh-CN"/>
          <w14:textFill>
            <w14:solidFill>
              <w14:schemeClr w14:val="tx1"/>
            </w14:solidFill>
          </w14:textFill>
        </w:rPr>
        <w:t>25.8%，占固定资产投资85.8%；房地产开发投资</w:t>
      </w:r>
      <w:r>
        <w:rPr>
          <w:rFonts w:hint="eastAsia" w:ascii="仿宋" w:hAnsi="仿宋" w:eastAsia="仿宋" w:cs="仿宋"/>
          <w:color w:val="000000" w:themeColor="text1"/>
          <w:sz w:val="32"/>
          <w:szCs w:val="32"/>
          <w14:textFill>
            <w14:solidFill>
              <w14:schemeClr w14:val="tx1"/>
            </w14:solidFill>
          </w14:textFill>
        </w:rPr>
        <w:t>比上年</w:t>
      </w:r>
      <w:r>
        <w:rPr>
          <w:rFonts w:hint="eastAsia" w:ascii="仿宋" w:hAnsi="仿宋" w:eastAsia="仿宋" w:cs="仿宋"/>
          <w:color w:val="000000" w:themeColor="text1"/>
          <w:sz w:val="32"/>
          <w:szCs w:val="32"/>
          <w:lang w:val="en-US" w:eastAsia="zh-CN"/>
          <w14:textFill>
            <w14:solidFill>
              <w14:schemeClr w14:val="tx1"/>
            </w14:solidFill>
          </w14:textFill>
        </w:rPr>
        <w:t>下降26.5%，占固定资产投资5.2%。</w:t>
      </w:r>
    </w:p>
    <w:p>
      <w:pPr>
        <w:pStyle w:val="3"/>
        <w:ind w:left="0" w:leftChars="0" w:firstLine="0" w:firstLineChars="0"/>
      </w:pPr>
      <w:r>
        <w:drawing>
          <wp:inline distT="0" distB="0" distL="114300" distR="114300">
            <wp:extent cx="5270500" cy="2635250"/>
            <wp:effectExtent l="4445" t="4445" r="20955" b="825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
        <w:ind w:left="0" w:leftChars="0" w:firstLine="0" w:firstLineChars="0"/>
        <w:rPr>
          <w:rFonts w:hint="eastAsia" w:ascii="仿宋" w:hAnsi="仿宋" w:eastAsia="仿宋" w:cs="仿宋"/>
          <w:color w:val="C00000"/>
          <w:sz w:val="32"/>
          <w:szCs w:val="32"/>
          <w:lang w:val="en-US" w:eastAsia="zh-CN"/>
        </w:rPr>
      </w:pPr>
      <w:r>
        <w:drawing>
          <wp:inline distT="0" distB="0" distL="114300" distR="114300">
            <wp:extent cx="5270500" cy="2621280"/>
            <wp:effectExtent l="4445" t="4445" r="20955" b="2222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全年全区亿元及以上固定资产投资项目27个，完成投资比上年增长22.7%。</w:t>
      </w: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六、</w:t>
      </w:r>
      <w:r>
        <w:rPr>
          <w:rFonts w:hint="eastAsia" w:ascii="仿宋" w:hAnsi="仿宋" w:eastAsia="仿宋" w:cs="仿宋"/>
          <w:b/>
          <w:color w:val="000000" w:themeColor="text1"/>
          <w:sz w:val="32"/>
          <w:szCs w:val="32"/>
          <w14:textFill>
            <w14:solidFill>
              <w14:schemeClr w14:val="tx1"/>
            </w14:solidFill>
          </w14:textFill>
        </w:rPr>
        <w:t>国内贸易</w:t>
      </w:r>
    </w:p>
    <w:p>
      <w:pPr>
        <w:keepNext w:val="0"/>
        <w:keepLines w:val="0"/>
        <w:pageBreakBefore w:val="0"/>
        <w:widowControl/>
        <w:kinsoku/>
        <w:wordWrap/>
        <w:overflowPunct/>
        <w:topLinePunct w:val="0"/>
        <w:autoSpaceDE/>
        <w:bidi w:val="0"/>
        <w:snapToGrid/>
        <w:spacing w:line="560" w:lineRule="exact"/>
        <w:ind w:left="0" w:firstLine="640" w:firstLineChars="200"/>
        <w:jc w:val="both"/>
        <w:rPr>
          <w:rFonts w:hint="eastAsia" w:ascii="仿宋" w:hAnsi="仿宋" w:eastAsia="仿宋" w:cs="宋体"/>
          <w:color w:val="C00000"/>
          <w:kern w:val="0"/>
          <w:sz w:val="32"/>
          <w:szCs w:val="32"/>
        </w:rPr>
      </w:pPr>
      <w:r>
        <w:rPr>
          <w:rFonts w:hint="eastAsia" w:ascii="仿宋" w:hAnsi="仿宋" w:eastAsia="仿宋" w:cs="宋体"/>
          <w:color w:val="000000" w:themeColor="text1"/>
          <w:kern w:val="0"/>
          <w:sz w:val="32"/>
          <w:szCs w:val="32"/>
          <w:lang w:eastAsia="zh-CN"/>
          <w14:textFill>
            <w14:solidFill>
              <w14:schemeClr w14:val="tx1"/>
            </w14:solidFill>
          </w14:textFill>
        </w:rPr>
        <w:t>全年</w:t>
      </w:r>
      <w:r>
        <w:rPr>
          <w:rFonts w:hint="eastAsia" w:ascii="仿宋" w:hAnsi="仿宋" w:eastAsia="仿宋" w:cs="宋体"/>
          <w:color w:val="000000" w:themeColor="text1"/>
          <w:kern w:val="0"/>
          <w:sz w:val="32"/>
          <w:szCs w:val="32"/>
          <w14:textFill>
            <w14:solidFill>
              <w14:schemeClr w14:val="tx1"/>
            </w14:solidFill>
          </w14:textFill>
        </w:rPr>
        <w:t>全区社会消费品零售总额完成</w:t>
      </w:r>
      <w:r>
        <w:rPr>
          <w:rFonts w:hint="eastAsia" w:ascii="仿宋" w:hAnsi="仿宋" w:eastAsia="仿宋" w:cs="宋体"/>
          <w:color w:val="000000" w:themeColor="text1"/>
          <w:kern w:val="0"/>
          <w:sz w:val="32"/>
          <w:szCs w:val="32"/>
          <w:lang w:val="en-US" w:eastAsia="zh-CN"/>
          <w14:textFill>
            <w14:solidFill>
              <w14:schemeClr w14:val="tx1"/>
            </w14:solidFill>
          </w14:textFill>
        </w:rPr>
        <w:t>30.7亿元</w:t>
      </w:r>
      <w:r>
        <w:rPr>
          <w:rFonts w:hint="eastAsia" w:ascii="仿宋" w:hAnsi="仿宋" w:eastAsia="仿宋" w:cs="宋体"/>
          <w:color w:val="000000" w:themeColor="text1"/>
          <w:kern w:val="0"/>
          <w:sz w:val="32"/>
          <w:szCs w:val="32"/>
          <w14:textFill>
            <w14:solidFill>
              <w14:schemeClr w14:val="tx1"/>
            </w14:solidFill>
          </w14:textFill>
        </w:rPr>
        <w:t>，比上年</w:t>
      </w:r>
      <w:r>
        <w:rPr>
          <w:rFonts w:hint="eastAsia" w:ascii="仿宋" w:hAnsi="仿宋" w:eastAsia="仿宋" w:cs="宋体"/>
          <w:color w:val="000000" w:themeColor="text1"/>
          <w:kern w:val="0"/>
          <w:sz w:val="32"/>
          <w:szCs w:val="32"/>
          <w:lang w:eastAsia="zh-CN"/>
          <w14:textFill>
            <w14:solidFill>
              <w14:schemeClr w14:val="tx1"/>
            </w14:solidFill>
          </w14:textFill>
        </w:rPr>
        <w:t>增长</w:t>
      </w:r>
      <w:r>
        <w:rPr>
          <w:rFonts w:hint="eastAsia" w:ascii="仿宋" w:hAnsi="仿宋" w:eastAsia="仿宋" w:cs="宋体"/>
          <w:color w:val="000000" w:themeColor="text1"/>
          <w:kern w:val="0"/>
          <w:sz w:val="32"/>
          <w:szCs w:val="32"/>
          <w:lang w:val="en-US" w:eastAsia="zh-CN"/>
          <w14:textFill>
            <w14:solidFill>
              <w14:schemeClr w14:val="tx1"/>
            </w14:solidFill>
          </w14:textFill>
        </w:rPr>
        <w:t>1.7</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kern w:val="0"/>
          <w:sz w:val="32"/>
          <w:szCs w:val="32"/>
          <w:lang w:eastAsia="zh-CN"/>
        </w:rPr>
        <w:t>全区限额以上销售额达到</w:t>
      </w:r>
      <w:r>
        <w:rPr>
          <w:rFonts w:hint="eastAsia" w:ascii="仿宋" w:hAnsi="仿宋" w:eastAsia="仿宋" w:cs="宋体"/>
          <w:color w:val="000000"/>
          <w:kern w:val="0"/>
          <w:sz w:val="32"/>
          <w:szCs w:val="32"/>
          <w:lang w:val="en-US" w:eastAsia="zh-CN"/>
        </w:rPr>
        <w:t>52亿元，比上年下降0.8%，</w:t>
      </w:r>
      <w:r>
        <w:rPr>
          <w:rFonts w:hint="eastAsia" w:ascii="仿宋" w:hAnsi="仿宋" w:eastAsia="仿宋" w:cs="宋体"/>
          <w:color w:val="000000"/>
          <w:kern w:val="0"/>
          <w:sz w:val="32"/>
          <w:szCs w:val="32"/>
        </w:rPr>
        <w:t>按分行业统计，批发业</w:t>
      </w:r>
      <w:r>
        <w:rPr>
          <w:rFonts w:hint="eastAsia" w:ascii="仿宋" w:hAnsi="仿宋" w:eastAsia="仿宋" w:cs="宋体"/>
          <w:color w:val="000000"/>
          <w:kern w:val="0"/>
          <w:sz w:val="32"/>
          <w:szCs w:val="32"/>
          <w:lang w:val="en-US" w:eastAsia="zh-CN"/>
        </w:rPr>
        <w:t>29.0</w:t>
      </w:r>
      <w:r>
        <w:rPr>
          <w:rFonts w:hint="eastAsia" w:ascii="仿宋" w:hAnsi="仿宋" w:eastAsia="仿宋" w:cs="宋体"/>
          <w:color w:val="000000"/>
          <w:kern w:val="0"/>
          <w:sz w:val="32"/>
          <w:szCs w:val="32"/>
          <w:lang w:eastAsia="zh-CN"/>
        </w:rPr>
        <w:t>亿</w:t>
      </w:r>
      <w:r>
        <w:rPr>
          <w:rFonts w:hint="eastAsia" w:ascii="仿宋" w:hAnsi="仿宋" w:eastAsia="仿宋" w:cs="宋体"/>
          <w:color w:val="000000"/>
          <w:kern w:val="0"/>
          <w:sz w:val="32"/>
          <w:szCs w:val="32"/>
        </w:rPr>
        <w:t>元，</w:t>
      </w:r>
      <w:r>
        <w:rPr>
          <w:rFonts w:hint="eastAsia" w:ascii="仿宋_GB2312" w:hAnsi="宋体" w:eastAsia="仿宋_GB2312"/>
          <w:bCs/>
          <w:color w:val="000000"/>
          <w:kern w:val="0"/>
          <w:sz w:val="32"/>
          <w:szCs w:val="32"/>
          <w:shd w:val="clear" w:color="auto" w:fill="FFFFFF"/>
        </w:rPr>
        <w:t>比上年增长</w:t>
      </w:r>
      <w:r>
        <w:rPr>
          <w:rFonts w:hint="eastAsia" w:ascii="仿宋" w:hAnsi="仿宋" w:eastAsia="仿宋" w:cs="宋体"/>
          <w:color w:val="000000"/>
          <w:kern w:val="0"/>
          <w:sz w:val="32"/>
          <w:szCs w:val="32"/>
          <w:lang w:val="en-US" w:eastAsia="zh-CN"/>
        </w:rPr>
        <w:t>1.5</w:t>
      </w:r>
      <w:r>
        <w:rPr>
          <w:rFonts w:hint="eastAsia" w:ascii="仿宋" w:hAnsi="仿宋" w:eastAsia="仿宋" w:cs="宋体"/>
          <w:color w:val="000000"/>
          <w:kern w:val="0"/>
          <w:sz w:val="32"/>
          <w:szCs w:val="32"/>
        </w:rPr>
        <w:t>%；零售业</w:t>
      </w:r>
      <w:r>
        <w:rPr>
          <w:rFonts w:hint="eastAsia" w:ascii="仿宋" w:hAnsi="仿宋" w:eastAsia="仿宋" w:cs="宋体"/>
          <w:color w:val="000000"/>
          <w:kern w:val="0"/>
          <w:sz w:val="32"/>
          <w:szCs w:val="32"/>
          <w:lang w:val="en-US" w:eastAsia="zh-CN"/>
        </w:rPr>
        <w:t>21.7</w:t>
      </w:r>
      <w:r>
        <w:rPr>
          <w:rFonts w:hint="eastAsia" w:ascii="仿宋" w:hAnsi="仿宋" w:eastAsia="仿宋" w:cs="宋体"/>
          <w:color w:val="000000"/>
          <w:kern w:val="0"/>
          <w:sz w:val="32"/>
          <w:szCs w:val="32"/>
          <w:lang w:eastAsia="zh-CN"/>
        </w:rPr>
        <w:t>亿</w:t>
      </w:r>
      <w:r>
        <w:rPr>
          <w:rFonts w:hint="eastAsia" w:ascii="仿宋" w:hAnsi="仿宋" w:eastAsia="仿宋" w:cs="宋体"/>
          <w:color w:val="000000"/>
          <w:kern w:val="0"/>
          <w:sz w:val="32"/>
          <w:szCs w:val="32"/>
        </w:rPr>
        <w:t>元，</w:t>
      </w:r>
      <w:r>
        <w:rPr>
          <w:rFonts w:hint="eastAsia" w:ascii="仿宋_GB2312" w:hAnsi="宋体" w:eastAsia="仿宋_GB2312"/>
          <w:bCs/>
          <w:color w:val="000000"/>
          <w:kern w:val="0"/>
          <w:sz w:val="32"/>
          <w:szCs w:val="32"/>
          <w:shd w:val="clear" w:color="auto" w:fill="FFFFFF"/>
        </w:rPr>
        <w:t>比上年</w:t>
      </w:r>
      <w:r>
        <w:rPr>
          <w:rFonts w:hint="eastAsia" w:ascii="仿宋_GB2312" w:hAnsi="宋体" w:eastAsia="仿宋_GB2312"/>
          <w:bCs/>
          <w:color w:val="000000"/>
          <w:kern w:val="0"/>
          <w:sz w:val="32"/>
          <w:szCs w:val="32"/>
          <w:shd w:val="clear" w:color="auto" w:fill="FFFFFF"/>
          <w:lang w:val="en-US" w:eastAsia="zh-CN"/>
        </w:rPr>
        <w:t>下降3.2</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住宿业</w:t>
      </w:r>
      <w:r>
        <w:rPr>
          <w:rFonts w:hint="eastAsia" w:ascii="仿宋" w:hAnsi="仿宋" w:eastAsia="仿宋" w:cs="宋体"/>
          <w:color w:val="000000"/>
          <w:kern w:val="0"/>
          <w:sz w:val="32"/>
          <w:szCs w:val="32"/>
          <w:lang w:val="en-US" w:eastAsia="zh-CN"/>
        </w:rPr>
        <w:t>0.02亿</w:t>
      </w:r>
      <w:r>
        <w:rPr>
          <w:rFonts w:hint="eastAsia" w:ascii="仿宋" w:hAnsi="仿宋" w:eastAsia="仿宋" w:cs="宋体"/>
          <w:color w:val="000000"/>
          <w:kern w:val="0"/>
          <w:sz w:val="32"/>
          <w:szCs w:val="32"/>
        </w:rPr>
        <w:t>元，比上年</w:t>
      </w:r>
      <w:r>
        <w:rPr>
          <w:rFonts w:hint="eastAsia" w:ascii="仿宋" w:hAnsi="仿宋" w:eastAsia="仿宋" w:cs="宋体"/>
          <w:color w:val="000000"/>
          <w:kern w:val="0"/>
          <w:sz w:val="32"/>
          <w:szCs w:val="32"/>
          <w:lang w:val="en-US" w:eastAsia="zh-CN"/>
        </w:rPr>
        <w:t>下降10.6</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餐饮业</w:t>
      </w:r>
      <w:r>
        <w:rPr>
          <w:rFonts w:hint="eastAsia" w:ascii="仿宋" w:hAnsi="仿宋" w:eastAsia="仿宋" w:cs="宋体"/>
          <w:color w:val="000000"/>
          <w:kern w:val="0"/>
          <w:sz w:val="32"/>
          <w:szCs w:val="32"/>
          <w:lang w:val="en-US" w:eastAsia="zh-CN"/>
        </w:rPr>
        <w:t>1.4亿</w:t>
      </w:r>
      <w:r>
        <w:rPr>
          <w:rFonts w:hint="eastAsia" w:ascii="仿宋" w:hAnsi="仿宋" w:eastAsia="仿宋" w:cs="宋体"/>
          <w:color w:val="000000"/>
          <w:kern w:val="0"/>
          <w:sz w:val="32"/>
          <w:szCs w:val="32"/>
        </w:rPr>
        <w:t>元，比上年</w:t>
      </w:r>
      <w:r>
        <w:rPr>
          <w:rFonts w:hint="eastAsia" w:ascii="仿宋" w:hAnsi="仿宋" w:eastAsia="仿宋" w:cs="宋体"/>
          <w:color w:val="000000"/>
          <w:kern w:val="0"/>
          <w:sz w:val="32"/>
          <w:szCs w:val="32"/>
          <w:lang w:val="en-US" w:eastAsia="zh-CN"/>
        </w:rPr>
        <w:t>下降7.9</w:t>
      </w:r>
      <w:r>
        <w:rPr>
          <w:rFonts w:hint="eastAsia" w:ascii="仿宋" w:hAnsi="仿宋" w:eastAsia="仿宋" w:cs="宋体"/>
          <w:color w:val="000000"/>
          <w:kern w:val="0"/>
          <w:sz w:val="32"/>
          <w:szCs w:val="32"/>
        </w:rPr>
        <w:t>%。</w:t>
      </w:r>
    </w:p>
    <w:p>
      <w:pPr>
        <w:pStyle w:val="3"/>
        <w:ind w:left="0" w:leftChars="0" w:firstLine="0" w:firstLineChars="0"/>
        <w:rPr>
          <w:rFonts w:hint="eastAsia" w:ascii="仿宋" w:hAnsi="仿宋" w:eastAsia="仿宋" w:cs="宋体"/>
          <w:color w:val="C00000"/>
          <w:kern w:val="0"/>
          <w:sz w:val="32"/>
          <w:szCs w:val="32"/>
        </w:rPr>
      </w:pPr>
      <w:r>
        <w:drawing>
          <wp:inline distT="0" distB="0" distL="114300" distR="114300">
            <wp:extent cx="5274310" cy="2770505"/>
            <wp:effectExtent l="4445" t="4445" r="17145" b="635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000000" w:themeColor="text1"/>
          <w:kern w:val="0"/>
          <w:sz w:val="32"/>
          <w:szCs w:val="32"/>
          <w:lang w:val="en-US" w:eastAsia="zh-CN" w:bidi="ar-SA"/>
          <w14:textFill>
            <w14:solidFill>
              <w14:schemeClr w14:val="tx1"/>
            </w14:solidFill>
          </w14:textFill>
        </w:rPr>
      </w:pPr>
      <w:r>
        <w:rPr>
          <w:rFonts w:hint="eastAsia" w:ascii="仿宋" w:hAnsi="仿宋" w:eastAsia="仿宋" w:cs="宋体"/>
          <w:color w:val="000000" w:themeColor="text1"/>
          <w:kern w:val="0"/>
          <w:sz w:val="32"/>
          <w:szCs w:val="32"/>
          <w:lang w:val="en-US" w:eastAsia="zh-CN" w:bidi="ar-SA"/>
          <w14:textFill>
            <w14:solidFill>
              <w14:schemeClr w14:val="tx1"/>
            </w14:solidFill>
          </w14:textFill>
        </w:rPr>
        <w:t>全年全区限额以上单位消费品零售额中，粮油食品类零售额比上年下降31.9%，饮料类下降28.4%，烟酒类下降27.5%，服装、鞋帽、针纺织品类下降9.5%，日用品类下降11.1%，家用电器和音像器材类下降85.9%，汽车类下降12.5%。</w:t>
      </w: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七</w:t>
      </w:r>
      <w:r>
        <w:rPr>
          <w:rFonts w:hint="eastAsia" w:ascii="仿宋" w:hAnsi="仿宋" w:eastAsia="仿宋" w:cs="仿宋"/>
          <w:b/>
          <w:color w:val="000000" w:themeColor="text1"/>
          <w:sz w:val="32"/>
          <w:szCs w:val="32"/>
          <w14:textFill>
            <w14:solidFill>
              <w14:schemeClr w14:val="tx1"/>
            </w14:solidFill>
          </w14:textFill>
        </w:rPr>
        <w:t>、对外经济</w:t>
      </w:r>
    </w:p>
    <w:p>
      <w:pPr>
        <w:keepNext w:val="0"/>
        <w:keepLines w:val="0"/>
        <w:pageBreakBefore w:val="0"/>
        <w:kinsoku/>
        <w:wordWrap/>
        <w:overflowPunct/>
        <w:topLinePunct w:val="0"/>
        <w:autoSpaceDE/>
        <w:autoSpaceDN/>
        <w:bidi w:val="0"/>
        <w:adjustRightInd/>
        <w:snapToGrid/>
        <w:spacing w:line="560" w:lineRule="exact"/>
        <w:ind w:firstLine="633" w:firstLineChars="198"/>
        <w:jc w:val="both"/>
        <w:rPr>
          <w:rFonts w:hint="eastAsia" w:ascii="仿宋" w:hAnsi="仿宋" w:eastAsia="仿宋" w:cs="仿宋"/>
          <w:color w:val="FF0000"/>
          <w:kern w:val="0"/>
          <w:sz w:val="32"/>
          <w:szCs w:val="32"/>
        </w:rPr>
      </w:pPr>
      <w:r>
        <w:rPr>
          <w:rFonts w:hint="eastAsia" w:ascii="仿宋" w:hAnsi="仿宋" w:eastAsia="仿宋" w:cs="仿宋"/>
          <w:color w:val="auto"/>
          <w:kern w:val="0"/>
          <w:sz w:val="32"/>
          <w:szCs w:val="32"/>
          <w:lang w:eastAsia="zh-CN"/>
        </w:rPr>
        <w:t>全年</w:t>
      </w:r>
      <w:r>
        <w:rPr>
          <w:rFonts w:hint="eastAsia" w:ascii="仿宋" w:hAnsi="仿宋" w:eastAsia="仿宋" w:cs="仿宋"/>
          <w:color w:val="auto"/>
          <w:kern w:val="0"/>
          <w:sz w:val="32"/>
          <w:szCs w:val="32"/>
          <w:lang w:val="en-US" w:eastAsia="zh-CN"/>
        </w:rPr>
        <w:t>全区货物贸易进出口总额67.34亿元，同比增长29.9%。其中出口额56.96亿元，同比增长36.9%，进口额10.38亿元，同比上升1.3%。</w:t>
      </w:r>
    </w:p>
    <w:p>
      <w:pPr>
        <w:keepNext w:val="0"/>
        <w:keepLines w:val="0"/>
        <w:pageBreakBefore w:val="0"/>
        <w:kinsoku/>
        <w:wordWrap/>
        <w:overflowPunct/>
        <w:topLinePunct w:val="0"/>
        <w:autoSpaceDE/>
        <w:autoSpaceDN/>
        <w:bidi w:val="0"/>
        <w:adjustRightInd/>
        <w:snapToGrid/>
        <w:spacing w:line="560" w:lineRule="exact"/>
        <w:ind w:firstLine="633" w:firstLineChars="198"/>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全年全区实际吸引外商投资5141万美元，比上年增长31.8%；合同外资完成9639万美元，增长67.36%。</w:t>
      </w: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八、财政金融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C00000"/>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全年</w:t>
      </w:r>
      <w:r>
        <w:rPr>
          <w:rFonts w:hint="eastAsia" w:ascii="仿宋" w:hAnsi="仿宋" w:eastAsia="仿宋" w:cs="仿宋"/>
          <w:color w:val="000000" w:themeColor="text1"/>
          <w:kern w:val="0"/>
          <w:sz w:val="32"/>
          <w:szCs w:val="32"/>
          <w:lang w:eastAsia="zh-CN"/>
          <w14:textFill>
            <w14:solidFill>
              <w14:schemeClr w14:val="tx1"/>
            </w14:solidFill>
          </w14:textFill>
        </w:rPr>
        <w:t>全区</w:t>
      </w:r>
      <w:r>
        <w:rPr>
          <w:rFonts w:hint="eastAsia" w:ascii="仿宋" w:hAnsi="仿宋" w:eastAsia="仿宋" w:cs="仿宋"/>
          <w:color w:val="000000" w:themeColor="text1"/>
          <w:kern w:val="0"/>
          <w:sz w:val="32"/>
          <w:szCs w:val="32"/>
          <w:lang w:val="en-US" w:eastAsia="zh-CN"/>
          <w14:textFill>
            <w14:solidFill>
              <w14:schemeClr w14:val="tx1"/>
            </w14:solidFill>
          </w14:textFill>
        </w:rPr>
        <w:t>一般</w:t>
      </w:r>
      <w:r>
        <w:rPr>
          <w:rFonts w:hint="eastAsia" w:ascii="仿宋" w:hAnsi="仿宋" w:eastAsia="仿宋" w:cs="仿宋"/>
          <w:color w:val="000000" w:themeColor="text1"/>
          <w:kern w:val="0"/>
          <w:sz w:val="32"/>
          <w:szCs w:val="32"/>
          <w14:textFill>
            <w14:solidFill>
              <w14:schemeClr w14:val="tx1"/>
            </w14:solidFill>
          </w14:textFill>
        </w:rPr>
        <w:t>公共预算收入</w:t>
      </w:r>
      <w:r>
        <w:rPr>
          <w:rFonts w:hint="eastAsia" w:ascii="仿宋" w:hAnsi="仿宋" w:eastAsia="仿宋" w:cs="仿宋"/>
          <w:color w:val="000000" w:themeColor="text1"/>
          <w:kern w:val="0"/>
          <w:sz w:val="32"/>
          <w:szCs w:val="32"/>
          <w:lang w:val="en-US" w:eastAsia="zh-CN"/>
          <w14:textFill>
            <w14:solidFill>
              <w14:schemeClr w14:val="tx1"/>
            </w14:solidFill>
          </w14:textFill>
        </w:rPr>
        <w:t>11.5亿</w:t>
      </w:r>
      <w:r>
        <w:rPr>
          <w:rFonts w:hint="eastAsia" w:ascii="仿宋" w:hAnsi="仿宋" w:eastAsia="仿宋" w:cs="仿宋"/>
          <w:color w:val="000000" w:themeColor="text1"/>
          <w:kern w:val="0"/>
          <w:sz w:val="32"/>
          <w:szCs w:val="32"/>
          <w14:textFill>
            <w14:solidFill>
              <w14:schemeClr w14:val="tx1"/>
            </w14:solidFill>
          </w14:textFill>
        </w:rPr>
        <w:t>元，</w:t>
      </w:r>
      <w:r>
        <w:rPr>
          <w:rFonts w:hint="eastAsia" w:ascii="仿宋" w:hAnsi="仿宋" w:eastAsia="仿宋" w:cs="仿宋"/>
          <w:color w:val="000000" w:themeColor="text1"/>
          <w:kern w:val="0"/>
          <w:sz w:val="32"/>
          <w:szCs w:val="32"/>
          <w:lang w:val="en-US" w:eastAsia="zh-CN"/>
          <w14:textFill>
            <w14:solidFill>
              <w14:schemeClr w14:val="tx1"/>
            </w14:solidFill>
          </w14:textFill>
        </w:rPr>
        <w:t>增长13.5</w:t>
      </w:r>
      <w:r>
        <w:rPr>
          <w:rFonts w:hint="eastAsia" w:ascii="仿宋" w:hAnsi="仿宋" w:eastAsia="仿宋" w:cs="仿宋"/>
          <w:color w:val="000000" w:themeColor="text1"/>
          <w:kern w:val="0"/>
          <w:sz w:val="32"/>
          <w:szCs w:val="32"/>
          <w14:textFill>
            <w14:solidFill>
              <w14:schemeClr w14:val="tx1"/>
            </w14:solidFill>
          </w14:textFill>
        </w:rPr>
        <w:t>%，其中：税收收入</w:t>
      </w:r>
      <w:r>
        <w:rPr>
          <w:rFonts w:hint="eastAsia" w:ascii="仿宋" w:hAnsi="仿宋" w:eastAsia="仿宋" w:cs="仿宋"/>
          <w:color w:val="000000" w:themeColor="text1"/>
          <w:kern w:val="0"/>
          <w:sz w:val="32"/>
          <w:szCs w:val="32"/>
          <w:lang w:val="en-US" w:eastAsia="zh-CN"/>
          <w14:textFill>
            <w14:solidFill>
              <w14:schemeClr w14:val="tx1"/>
            </w14:solidFill>
          </w14:textFill>
        </w:rPr>
        <w:t>10.3亿</w:t>
      </w:r>
      <w:r>
        <w:rPr>
          <w:rFonts w:hint="eastAsia" w:ascii="仿宋" w:hAnsi="仿宋" w:eastAsia="仿宋" w:cs="仿宋"/>
          <w:color w:val="000000" w:themeColor="text1"/>
          <w:kern w:val="0"/>
          <w:sz w:val="32"/>
          <w:szCs w:val="32"/>
          <w14:textFill>
            <w14:solidFill>
              <w14:schemeClr w14:val="tx1"/>
            </w14:solidFill>
          </w14:textFill>
        </w:rPr>
        <w:t>元，</w:t>
      </w:r>
      <w:r>
        <w:rPr>
          <w:rFonts w:hint="eastAsia" w:ascii="仿宋" w:hAnsi="仿宋" w:eastAsia="仿宋" w:cs="仿宋"/>
          <w:color w:val="000000" w:themeColor="text1"/>
          <w:kern w:val="0"/>
          <w:sz w:val="32"/>
          <w:szCs w:val="32"/>
          <w:lang w:val="en-US" w:eastAsia="zh-CN"/>
          <w14:textFill>
            <w14:solidFill>
              <w14:schemeClr w14:val="tx1"/>
            </w14:solidFill>
          </w14:textFill>
        </w:rPr>
        <w:t>增长13.5</w:t>
      </w:r>
      <w:r>
        <w:rPr>
          <w:rFonts w:hint="eastAsia" w:ascii="仿宋" w:hAnsi="仿宋" w:eastAsia="仿宋" w:cs="仿宋"/>
          <w:color w:val="000000" w:themeColor="text1"/>
          <w:kern w:val="0"/>
          <w:sz w:val="32"/>
          <w:szCs w:val="32"/>
          <w14:textFill>
            <w14:solidFill>
              <w14:schemeClr w14:val="tx1"/>
            </w14:solidFill>
          </w14:textFill>
        </w:rPr>
        <w:t>%，占</w:t>
      </w:r>
      <w:r>
        <w:rPr>
          <w:rFonts w:hint="eastAsia" w:ascii="仿宋" w:hAnsi="仿宋" w:eastAsia="仿宋" w:cs="仿宋"/>
          <w:color w:val="000000" w:themeColor="text1"/>
          <w:kern w:val="0"/>
          <w:sz w:val="32"/>
          <w:szCs w:val="32"/>
          <w:lang w:val="en-US" w:eastAsia="zh-CN"/>
          <w14:textFill>
            <w14:solidFill>
              <w14:schemeClr w14:val="tx1"/>
            </w14:solidFill>
          </w14:textFill>
        </w:rPr>
        <w:t>一般</w:t>
      </w:r>
      <w:r>
        <w:rPr>
          <w:rFonts w:hint="eastAsia" w:ascii="仿宋" w:hAnsi="仿宋" w:eastAsia="仿宋" w:cs="仿宋"/>
          <w:color w:val="000000" w:themeColor="text1"/>
          <w:kern w:val="0"/>
          <w:sz w:val="32"/>
          <w:szCs w:val="32"/>
          <w14:textFill>
            <w14:solidFill>
              <w14:schemeClr w14:val="tx1"/>
            </w14:solidFill>
          </w14:textFill>
        </w:rPr>
        <w:t>公共预算收入的比重为</w:t>
      </w:r>
      <w:r>
        <w:rPr>
          <w:rFonts w:hint="eastAsia" w:ascii="仿宋" w:hAnsi="仿宋" w:eastAsia="仿宋" w:cs="仿宋"/>
          <w:color w:val="000000" w:themeColor="text1"/>
          <w:kern w:val="0"/>
          <w:sz w:val="32"/>
          <w:szCs w:val="32"/>
          <w:lang w:val="en-US" w:eastAsia="zh-CN"/>
          <w14:textFill>
            <w14:solidFill>
              <w14:schemeClr w14:val="tx1"/>
            </w14:solidFill>
          </w14:textFill>
        </w:rPr>
        <w:t>90</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一般</w:t>
      </w:r>
      <w:r>
        <w:rPr>
          <w:rFonts w:hint="eastAsia" w:ascii="仿宋" w:hAnsi="仿宋" w:eastAsia="仿宋" w:cs="仿宋"/>
          <w:color w:val="000000" w:themeColor="text1"/>
          <w:kern w:val="0"/>
          <w:sz w:val="32"/>
          <w:szCs w:val="32"/>
          <w14:textFill>
            <w14:solidFill>
              <w14:schemeClr w14:val="tx1"/>
            </w14:solidFill>
          </w14:textFill>
        </w:rPr>
        <w:t>公共预算支出</w:t>
      </w:r>
      <w:r>
        <w:rPr>
          <w:rFonts w:hint="eastAsia" w:ascii="仿宋" w:hAnsi="仿宋" w:eastAsia="仿宋" w:cs="仿宋"/>
          <w:color w:val="000000" w:themeColor="text1"/>
          <w:kern w:val="0"/>
          <w:sz w:val="32"/>
          <w:szCs w:val="32"/>
          <w:lang w:val="en-US" w:eastAsia="zh-CN"/>
          <w14:textFill>
            <w14:solidFill>
              <w14:schemeClr w14:val="tx1"/>
            </w14:solidFill>
          </w14:textFill>
        </w:rPr>
        <w:t>10.56亿</w:t>
      </w:r>
      <w:r>
        <w:rPr>
          <w:rFonts w:hint="eastAsia" w:ascii="仿宋" w:hAnsi="仿宋" w:eastAsia="仿宋" w:cs="仿宋"/>
          <w:color w:val="000000" w:themeColor="text1"/>
          <w:kern w:val="0"/>
          <w:sz w:val="32"/>
          <w:szCs w:val="32"/>
          <w14:textFill>
            <w14:solidFill>
              <w14:schemeClr w14:val="tx1"/>
            </w14:solidFill>
          </w14:textFill>
        </w:rPr>
        <w:t>元，</w:t>
      </w:r>
      <w:r>
        <w:rPr>
          <w:rFonts w:hint="eastAsia" w:ascii="仿宋" w:hAnsi="仿宋" w:eastAsia="仿宋" w:cs="仿宋"/>
          <w:color w:val="000000" w:themeColor="text1"/>
          <w:kern w:val="0"/>
          <w:sz w:val="32"/>
          <w:szCs w:val="32"/>
          <w:lang w:val="en-US" w:eastAsia="zh-CN"/>
          <w14:textFill>
            <w14:solidFill>
              <w14:schemeClr w14:val="tx1"/>
            </w14:solidFill>
          </w14:textFill>
        </w:rPr>
        <w:t>增长6.2</w:t>
      </w:r>
      <w:r>
        <w:rPr>
          <w:rFonts w:hint="eastAsia" w:ascii="仿宋" w:hAnsi="仿宋" w:eastAsia="仿宋" w:cs="仿宋"/>
          <w:color w:val="000000" w:themeColor="text1"/>
          <w:kern w:val="0"/>
          <w:sz w:val="32"/>
          <w:szCs w:val="32"/>
          <w14:textFill>
            <w14:solidFill>
              <w14:schemeClr w14:val="tx1"/>
            </w14:solidFill>
          </w14:textFill>
        </w:rPr>
        <w:t>%，其中：</w:t>
      </w:r>
      <w:r>
        <w:rPr>
          <w:rFonts w:hint="eastAsia" w:ascii="仿宋" w:hAnsi="仿宋" w:eastAsia="仿宋" w:cs="宋体"/>
          <w:color w:val="000000" w:themeColor="text1"/>
          <w:kern w:val="0"/>
          <w:sz w:val="32"/>
          <w:szCs w:val="32"/>
          <w14:textFill>
            <w14:solidFill>
              <w14:schemeClr w14:val="tx1"/>
            </w14:solidFill>
          </w14:textFill>
        </w:rPr>
        <w:t>一般公共服务支出1</w:t>
      </w:r>
      <w:r>
        <w:rPr>
          <w:rFonts w:hint="eastAsia" w:ascii="仿宋" w:hAnsi="仿宋" w:eastAsia="仿宋" w:cs="宋体"/>
          <w:color w:val="000000" w:themeColor="text1"/>
          <w:kern w:val="0"/>
          <w:sz w:val="32"/>
          <w:szCs w:val="32"/>
          <w:lang w:val="en-US"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5</w:t>
      </w:r>
      <w:r>
        <w:rPr>
          <w:rFonts w:hint="eastAsia" w:ascii="仿宋" w:hAnsi="仿宋" w:eastAsia="仿宋" w:cs="宋体"/>
          <w:color w:val="000000" w:themeColor="text1"/>
          <w:kern w:val="0"/>
          <w:sz w:val="32"/>
          <w:szCs w:val="32"/>
          <w:lang w:val="en-US" w:eastAsia="zh-CN"/>
          <w14:textFill>
            <w14:solidFill>
              <w14:schemeClr w14:val="tx1"/>
            </w14:solidFill>
          </w14:textFill>
        </w:rPr>
        <w:t>亿</w:t>
      </w:r>
      <w:r>
        <w:rPr>
          <w:rFonts w:hint="eastAsia" w:ascii="仿宋" w:hAnsi="仿宋" w:eastAsia="仿宋" w:cs="宋体"/>
          <w:color w:val="000000" w:themeColor="text1"/>
          <w:kern w:val="0"/>
          <w:sz w:val="32"/>
          <w:szCs w:val="32"/>
          <w14:textFill>
            <w14:solidFill>
              <w14:schemeClr w14:val="tx1"/>
            </w14:solidFill>
          </w14:textFill>
        </w:rPr>
        <w:t>元，增长14.5%；医疗卫生支出1</w:t>
      </w:r>
      <w:r>
        <w:rPr>
          <w:rFonts w:hint="eastAsia" w:ascii="仿宋" w:hAnsi="仿宋" w:eastAsia="仿宋" w:cs="宋体"/>
          <w:color w:val="000000" w:themeColor="text1"/>
          <w:kern w:val="0"/>
          <w:sz w:val="32"/>
          <w:szCs w:val="32"/>
          <w:lang w:val="en-US" w:eastAsia="zh-CN"/>
          <w14:textFill>
            <w14:solidFill>
              <w14:schemeClr w14:val="tx1"/>
            </w14:solidFill>
          </w14:textFill>
        </w:rPr>
        <w:t>.1亿</w:t>
      </w:r>
      <w:r>
        <w:rPr>
          <w:rFonts w:hint="eastAsia" w:ascii="仿宋" w:hAnsi="仿宋" w:eastAsia="仿宋" w:cs="宋体"/>
          <w:color w:val="000000" w:themeColor="text1"/>
          <w:kern w:val="0"/>
          <w:sz w:val="32"/>
          <w:szCs w:val="32"/>
          <w14:textFill>
            <w14:solidFill>
              <w14:schemeClr w14:val="tx1"/>
            </w14:solidFill>
          </w14:textFill>
        </w:rPr>
        <w:t>元，增长52.3%；教育支出1</w:t>
      </w:r>
      <w:r>
        <w:rPr>
          <w:rFonts w:hint="eastAsia" w:ascii="仿宋" w:hAnsi="仿宋" w:eastAsia="仿宋" w:cs="宋体"/>
          <w:color w:val="000000" w:themeColor="text1"/>
          <w:kern w:val="0"/>
          <w:sz w:val="32"/>
          <w:szCs w:val="32"/>
          <w:lang w:val="en-US"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7</w:t>
      </w:r>
      <w:r>
        <w:rPr>
          <w:rFonts w:hint="eastAsia" w:ascii="仿宋" w:hAnsi="仿宋" w:eastAsia="仿宋" w:cs="宋体"/>
          <w:color w:val="000000" w:themeColor="text1"/>
          <w:kern w:val="0"/>
          <w:sz w:val="32"/>
          <w:szCs w:val="32"/>
          <w:lang w:val="en-US" w:eastAsia="zh-CN"/>
          <w14:textFill>
            <w14:solidFill>
              <w14:schemeClr w14:val="tx1"/>
            </w14:solidFill>
          </w14:textFill>
        </w:rPr>
        <w:t>亿</w:t>
      </w:r>
      <w:r>
        <w:rPr>
          <w:rFonts w:hint="eastAsia" w:ascii="仿宋" w:hAnsi="仿宋" w:eastAsia="仿宋" w:cs="宋体"/>
          <w:color w:val="000000" w:themeColor="text1"/>
          <w:kern w:val="0"/>
          <w:sz w:val="32"/>
          <w:szCs w:val="32"/>
          <w14:textFill>
            <w14:solidFill>
              <w14:schemeClr w14:val="tx1"/>
            </w14:solidFill>
          </w14:textFill>
        </w:rPr>
        <w:t>元，增长22.</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%；农林水事务支出</w:t>
      </w:r>
      <w:r>
        <w:rPr>
          <w:rFonts w:hint="eastAsia" w:ascii="仿宋" w:hAnsi="仿宋" w:eastAsia="仿宋" w:cs="宋体"/>
          <w:color w:val="000000" w:themeColor="text1"/>
          <w:kern w:val="0"/>
          <w:sz w:val="32"/>
          <w:szCs w:val="32"/>
          <w:lang w:val="en-US" w:eastAsia="zh-CN"/>
          <w14:textFill>
            <w14:solidFill>
              <w14:schemeClr w14:val="tx1"/>
            </w14:solidFill>
          </w14:textFill>
        </w:rPr>
        <w:t>0.7亿元</w:t>
      </w:r>
      <w:r>
        <w:rPr>
          <w:rFonts w:hint="eastAsia" w:ascii="仿宋" w:hAnsi="仿宋" w:eastAsia="仿宋" w:cs="宋体"/>
          <w:color w:val="000000" w:themeColor="text1"/>
          <w:kern w:val="0"/>
          <w:sz w:val="32"/>
          <w:szCs w:val="32"/>
          <w14:textFill>
            <w14:solidFill>
              <w14:schemeClr w14:val="tx1"/>
            </w14:solidFill>
          </w14:textFill>
        </w:rPr>
        <w:t>，增长50.1%</w:t>
      </w:r>
      <w:r>
        <w:rPr>
          <w:rFonts w:hint="eastAsia" w:ascii="仿宋" w:hAnsi="仿宋" w:eastAsia="仿宋" w:cs="宋体"/>
          <w:color w:val="000000" w:themeColor="text1"/>
          <w:kern w:val="0"/>
          <w:sz w:val="32"/>
          <w:szCs w:val="32"/>
          <w:lang w:eastAsia="zh-CN"/>
          <w14:textFill>
            <w14:solidFill>
              <w14:schemeClr w14:val="tx1"/>
            </w14:solidFill>
          </w14:textFill>
        </w:rPr>
        <w:t>。</w:t>
      </w:r>
    </w:p>
    <w:p>
      <w:pPr>
        <w:pStyle w:val="3"/>
        <w:ind w:left="0" w:leftChars="0" w:firstLine="0" w:firstLineChars="0"/>
        <w:rPr>
          <w:rFonts w:hint="eastAsia" w:ascii="仿宋" w:hAnsi="仿宋" w:eastAsia="仿宋" w:cs="仿宋"/>
          <w:color w:val="C00000"/>
          <w:kern w:val="0"/>
          <w:sz w:val="32"/>
          <w:szCs w:val="32"/>
        </w:rPr>
      </w:pPr>
      <w:r>
        <w:drawing>
          <wp:inline distT="0" distB="0" distL="114300" distR="114300">
            <wp:extent cx="5270500" cy="2520950"/>
            <wp:effectExtent l="4445" t="4445" r="20955" b="825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年末全区金融机构各项人民币存款余额92.36亿元，比上年末增长31.49%。各项人民币贷款余额64.11亿元，增长29.28%。</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年末全区全区已培育上市企业2家（多氟多、佰利联），引进上市企业2家（风神轮胎、龙星化工）新三板挂牌企业1家（鸽德新材料）省定重点上市后备企业2家（鑫诚耐火、爱尔福克）。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全年保险公司保费收入11295.98万元;全年赔款支出6462.29万元；实现全口径税收3105.39万元。</w:t>
      </w: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九、居民收入消费和社会保障</w:t>
      </w:r>
    </w:p>
    <w:p>
      <w:pPr>
        <w:keepNext w:val="0"/>
        <w:keepLines w:val="0"/>
        <w:pageBreakBefore w:val="0"/>
        <w:kinsoku/>
        <w:wordWrap/>
        <w:overflowPunct/>
        <w:topLinePunct w:val="0"/>
        <w:autoSpaceDE/>
        <w:bidi w:val="0"/>
        <w:snapToGrid/>
        <w:spacing w:line="560" w:lineRule="exact"/>
        <w:ind w:left="0" w:firstLine="720" w:firstLineChars="200"/>
        <w:jc w:val="both"/>
        <w:textAlignment w:val="bottom"/>
        <w:rPr>
          <w:rFonts w:hint="eastAsia" w:ascii="仿宋" w:hAnsi="仿宋" w:eastAsia="仿宋"/>
          <w:color w:val="C00000"/>
          <w:kern w:val="0"/>
          <w:sz w:val="32"/>
          <w:szCs w:val="32"/>
        </w:rPr>
      </w:pPr>
      <w:r>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t>全年全区</w:t>
      </w:r>
      <w:r>
        <w:rPr>
          <w:rFonts w:hint="eastAsia" w:ascii="仿宋" w:hAnsi="仿宋" w:eastAsia="仿宋"/>
          <w:color w:val="000000" w:themeColor="text1"/>
          <w:kern w:val="0"/>
          <w:sz w:val="32"/>
          <w:szCs w:val="32"/>
          <w14:textFill>
            <w14:solidFill>
              <w14:schemeClr w14:val="tx1"/>
            </w14:solidFill>
          </w14:textFill>
        </w:rPr>
        <w:t>居民人均可支配收入</w:t>
      </w:r>
      <w:r>
        <w:rPr>
          <w:rFonts w:hint="eastAsia" w:ascii="仿宋" w:hAnsi="仿宋" w:eastAsia="仿宋"/>
          <w:color w:val="000000" w:themeColor="text1"/>
          <w:kern w:val="0"/>
          <w:sz w:val="32"/>
          <w:szCs w:val="32"/>
          <w:lang w:val="en-US" w:eastAsia="zh-CN"/>
          <w14:textFill>
            <w14:solidFill>
              <w14:schemeClr w14:val="tx1"/>
            </w14:solidFill>
          </w14:textFill>
        </w:rPr>
        <w:t>30227</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比上年增长</w:t>
      </w:r>
      <w:r>
        <w:rPr>
          <w:rFonts w:hint="eastAsia" w:ascii="仿宋" w:hAnsi="仿宋" w:eastAsia="仿宋"/>
          <w:color w:val="000000" w:themeColor="text1"/>
          <w:kern w:val="0"/>
          <w:sz w:val="32"/>
          <w:szCs w:val="32"/>
          <w:lang w:val="en-US" w:eastAsia="zh-CN"/>
          <w14:textFill>
            <w14:solidFill>
              <w14:schemeClr w14:val="tx1"/>
            </w14:solidFill>
          </w14:textFill>
        </w:rPr>
        <w:t>5.5</w:t>
      </w:r>
      <w:r>
        <w:rPr>
          <w:rFonts w:hint="eastAsia" w:ascii="仿宋" w:hAnsi="仿宋" w:eastAsia="仿宋"/>
          <w:color w:val="000000" w:themeColor="text1"/>
          <w:kern w:val="0"/>
          <w:sz w:val="32"/>
          <w:szCs w:val="32"/>
          <w14:textFill>
            <w14:solidFill>
              <w14:schemeClr w14:val="tx1"/>
            </w14:solidFill>
          </w14:textFill>
        </w:rPr>
        <w:t>%</w:t>
      </w:r>
      <w:r>
        <w:rPr>
          <w:rFonts w:hint="eastAsia" w:ascii="仿宋" w:hAnsi="仿宋" w:eastAsia="仿宋"/>
          <w:color w:val="000000" w:themeColor="text1"/>
          <w:kern w:val="0"/>
          <w:sz w:val="32"/>
          <w:szCs w:val="32"/>
          <w:lang w:eastAsia="zh-CN"/>
          <w14:textFill>
            <w14:solidFill>
              <w14:schemeClr w14:val="tx1"/>
            </w14:solidFill>
          </w14:textFill>
        </w:rPr>
        <w:t>。按常住地分，</w:t>
      </w:r>
      <w:r>
        <w:rPr>
          <w:rFonts w:hint="eastAsia" w:ascii="仿宋" w:hAnsi="仿宋" w:eastAsia="仿宋"/>
          <w:color w:val="000000" w:themeColor="text1"/>
          <w:kern w:val="0"/>
          <w:sz w:val="32"/>
          <w:szCs w:val="32"/>
          <w14:textFill>
            <w14:solidFill>
              <w14:schemeClr w14:val="tx1"/>
            </w14:solidFill>
          </w14:textFill>
        </w:rPr>
        <w:t>城镇居民人均可支配收入</w:t>
      </w:r>
      <w:r>
        <w:rPr>
          <w:rFonts w:hint="eastAsia" w:ascii="仿宋" w:hAnsi="仿宋" w:eastAsia="仿宋"/>
          <w:color w:val="000000" w:themeColor="text1"/>
          <w:kern w:val="0"/>
          <w:sz w:val="32"/>
          <w:szCs w:val="32"/>
          <w:lang w:val="en-US" w:eastAsia="zh-CN"/>
          <w14:textFill>
            <w14:solidFill>
              <w14:schemeClr w14:val="tx1"/>
            </w14:solidFill>
          </w14:textFill>
        </w:rPr>
        <w:t>34182</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比上年增长</w:t>
      </w:r>
      <w:r>
        <w:rPr>
          <w:rFonts w:hint="eastAsia" w:ascii="仿宋" w:hAnsi="仿宋" w:eastAsia="仿宋"/>
          <w:color w:val="000000" w:themeColor="text1"/>
          <w:kern w:val="0"/>
          <w:sz w:val="32"/>
          <w:szCs w:val="32"/>
          <w:lang w:val="en-US" w:eastAsia="zh-CN"/>
          <w14:textFill>
            <w14:solidFill>
              <w14:schemeClr w14:val="tx1"/>
            </w14:solidFill>
          </w14:textFill>
        </w:rPr>
        <w:t>3.5</w:t>
      </w:r>
      <w:r>
        <w:rPr>
          <w:rFonts w:hint="eastAsia" w:ascii="仿宋" w:hAnsi="仿宋" w:eastAsia="仿宋"/>
          <w:color w:val="000000" w:themeColor="text1"/>
          <w:kern w:val="0"/>
          <w:sz w:val="32"/>
          <w:szCs w:val="32"/>
          <w14:textFill>
            <w14:solidFill>
              <w14:schemeClr w14:val="tx1"/>
            </w14:solidFill>
          </w14:textFill>
        </w:rPr>
        <w:t>%；农民人均可支配收入</w:t>
      </w:r>
      <w:r>
        <w:rPr>
          <w:rFonts w:hint="eastAsia" w:ascii="仿宋" w:hAnsi="仿宋" w:eastAsia="仿宋"/>
          <w:color w:val="000000" w:themeColor="text1"/>
          <w:kern w:val="0"/>
          <w:sz w:val="32"/>
          <w:szCs w:val="32"/>
          <w:lang w:val="en-US" w:eastAsia="zh-CN"/>
          <w14:textFill>
            <w14:solidFill>
              <w14:schemeClr w14:val="tx1"/>
            </w14:solidFill>
          </w14:textFill>
        </w:rPr>
        <w:t>22588</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比上年增长</w:t>
      </w:r>
      <w:r>
        <w:rPr>
          <w:rFonts w:hint="eastAsia" w:ascii="仿宋" w:hAnsi="仿宋" w:eastAsia="仿宋"/>
          <w:color w:val="000000" w:themeColor="text1"/>
          <w:kern w:val="0"/>
          <w:sz w:val="32"/>
          <w:szCs w:val="32"/>
          <w:lang w:val="en-US" w:eastAsia="zh-CN"/>
          <w14:textFill>
            <w14:solidFill>
              <w14:schemeClr w14:val="tx1"/>
            </w14:solidFill>
          </w14:textFill>
        </w:rPr>
        <w:t>7.6</w:t>
      </w:r>
      <w:r>
        <w:rPr>
          <w:rFonts w:hint="eastAsia" w:ascii="仿宋" w:hAnsi="仿宋" w:eastAsia="仿宋"/>
          <w:color w:val="000000" w:themeColor="text1"/>
          <w:kern w:val="0"/>
          <w:sz w:val="32"/>
          <w:szCs w:val="32"/>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城乡</w:t>
      </w:r>
      <w:r>
        <w:rPr>
          <w:rFonts w:hint="eastAsia" w:ascii="仿宋_GB2312" w:hAnsi="宋体" w:eastAsia="仿宋_GB2312"/>
          <w:bCs/>
          <w:color w:val="000000" w:themeColor="text1"/>
          <w:kern w:val="0"/>
          <w:sz w:val="32"/>
          <w:szCs w:val="32"/>
          <w:shd w:val="clear" w:color="auto" w:fill="FFFFFF"/>
          <w:lang w:eastAsia="zh-CN"/>
          <w14:textFill>
            <w14:solidFill>
              <w14:schemeClr w14:val="tx1"/>
            </w14:solidFill>
          </w14:textFill>
        </w:rPr>
        <w:t>居民人均可支配收入比值</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为</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1.513，比上年缩小0.06</w:t>
      </w:r>
      <w:r>
        <w:rPr>
          <w:rFonts w:hint="eastAsia" w:ascii="仿宋" w:hAnsi="仿宋" w:eastAsia="仿宋"/>
          <w:color w:val="000000" w:themeColor="text1"/>
          <w:kern w:val="0"/>
          <w:sz w:val="32"/>
          <w:szCs w:val="32"/>
          <w14:textFill>
            <w14:solidFill>
              <w14:schemeClr w14:val="tx1"/>
            </w14:solidFill>
          </w14:textFill>
        </w:rPr>
        <w:t>。</w:t>
      </w:r>
    </w:p>
    <w:p>
      <w:pPr>
        <w:pStyle w:val="3"/>
        <w:rPr>
          <w:rFonts w:hint="eastAsia" w:ascii="仿宋" w:hAnsi="仿宋" w:eastAsia="仿宋"/>
          <w:color w:val="C00000"/>
          <w:kern w:val="0"/>
          <w:sz w:val="32"/>
          <w:szCs w:val="32"/>
        </w:rPr>
      </w:pPr>
      <w:r>
        <w:drawing>
          <wp:inline distT="0" distB="0" distL="114300" distR="114300">
            <wp:extent cx="5270500" cy="2680970"/>
            <wp:effectExtent l="4445" t="4445" r="20955" b="1968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3"/>
        <w:ind w:left="0" w:leftChars="0" w:firstLine="0" w:firstLineChars="0"/>
        <w:rPr>
          <w:rFonts w:hint="eastAsia" w:ascii="仿宋" w:hAnsi="仿宋" w:eastAsia="仿宋"/>
          <w:color w:val="C00000"/>
          <w:kern w:val="0"/>
          <w:sz w:val="32"/>
          <w:szCs w:val="32"/>
          <w:lang w:eastAsia="zh-CN"/>
        </w:rPr>
      </w:pPr>
    </w:p>
    <w:p>
      <w:pPr>
        <w:pStyle w:val="3"/>
        <w:ind w:left="0" w:leftChars="0"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eastAsia="zh-CN"/>
          <w14:textFill>
            <w14:solidFill>
              <w14:schemeClr w14:val="tx1"/>
            </w14:solidFill>
          </w14:textFill>
        </w:rPr>
        <w:t>全年全区</w:t>
      </w:r>
      <w:r>
        <w:rPr>
          <w:rFonts w:hint="eastAsia" w:ascii="仿宋" w:hAnsi="仿宋" w:eastAsia="仿宋"/>
          <w:color w:val="000000" w:themeColor="text1"/>
          <w:kern w:val="0"/>
          <w:sz w:val="32"/>
          <w:szCs w:val="32"/>
          <w14:textFill>
            <w14:solidFill>
              <w14:schemeClr w14:val="tx1"/>
            </w14:solidFill>
          </w14:textFill>
        </w:rPr>
        <w:t>居民人均消费支出</w:t>
      </w:r>
      <w:r>
        <w:rPr>
          <w:rFonts w:hint="eastAsia" w:ascii="仿宋" w:hAnsi="仿宋" w:eastAsia="仿宋"/>
          <w:color w:val="000000" w:themeColor="text1"/>
          <w:kern w:val="0"/>
          <w:sz w:val="32"/>
          <w:szCs w:val="32"/>
          <w:lang w:val="en-US" w:eastAsia="zh-CN"/>
          <w14:textFill>
            <w14:solidFill>
              <w14:schemeClr w14:val="tx1"/>
            </w14:solidFill>
          </w14:textFill>
        </w:rPr>
        <w:t>20830</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3.4</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r>
        <w:rPr>
          <w:rFonts w:hint="eastAsia" w:ascii="仿宋" w:hAnsi="仿宋" w:eastAsia="仿宋"/>
          <w:color w:val="000000" w:themeColor="text1"/>
          <w:kern w:val="0"/>
          <w:sz w:val="32"/>
          <w:szCs w:val="32"/>
          <w:lang w:eastAsia="zh-CN"/>
          <w14:textFill>
            <w14:solidFill>
              <w14:schemeClr w14:val="tx1"/>
            </w14:solidFill>
          </w14:textFill>
        </w:rPr>
        <w:t>按常住地分，</w:t>
      </w:r>
      <w:r>
        <w:rPr>
          <w:rFonts w:hint="eastAsia" w:ascii="仿宋" w:hAnsi="仿宋" w:eastAsia="仿宋"/>
          <w:color w:val="000000" w:themeColor="text1"/>
          <w:kern w:val="0"/>
          <w:sz w:val="32"/>
          <w:szCs w:val="32"/>
          <w14:textFill>
            <w14:solidFill>
              <w14:schemeClr w14:val="tx1"/>
            </w14:solidFill>
          </w14:textFill>
        </w:rPr>
        <w:t>城镇居民人均消费支出</w:t>
      </w:r>
      <w:r>
        <w:rPr>
          <w:rFonts w:hint="eastAsia" w:ascii="仿宋" w:hAnsi="仿宋" w:eastAsia="仿宋"/>
          <w:color w:val="000000" w:themeColor="text1"/>
          <w:kern w:val="0"/>
          <w:sz w:val="32"/>
          <w:szCs w:val="32"/>
          <w:lang w:val="en-US" w:eastAsia="zh-CN"/>
          <w14:textFill>
            <w14:solidFill>
              <w14:schemeClr w14:val="tx1"/>
            </w14:solidFill>
          </w14:textFill>
        </w:rPr>
        <w:t>22367</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增长1.6</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农村居民人均消费支出</w:t>
      </w:r>
      <w:r>
        <w:rPr>
          <w:rFonts w:hint="eastAsia" w:ascii="仿宋" w:hAnsi="仿宋" w:eastAsia="仿宋"/>
          <w:color w:val="000000" w:themeColor="text1"/>
          <w:kern w:val="0"/>
          <w:sz w:val="32"/>
          <w:szCs w:val="32"/>
          <w:lang w:val="en-US" w:eastAsia="zh-CN"/>
          <w14:textFill>
            <w14:solidFill>
              <w14:schemeClr w14:val="tx1"/>
            </w14:solidFill>
          </w14:textFill>
        </w:rPr>
        <w:t>17859</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6.0</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lang w:eastAsia="zh-CN"/>
          <w14:textFill>
            <w14:solidFill>
              <w14:schemeClr w14:val="tx1"/>
            </w14:solidFill>
          </w14:textFill>
        </w:rPr>
        <w:t>。</w:t>
      </w:r>
    </w:p>
    <w:p>
      <w:pPr>
        <w:widowControl/>
        <w:spacing w:line="480" w:lineRule="auto"/>
        <w:ind w:firstLine="640" w:firstLineChars="200"/>
        <w:jc w:val="left"/>
        <w:rPr>
          <w:rFonts w:hint="eastAsia" w:ascii="仿宋" w:hAnsi="仿宋" w:eastAsia="仿宋" w:cstheme="minorBidi"/>
          <w:color w:val="000000" w:themeColor="text1"/>
          <w:kern w:val="0"/>
          <w:sz w:val="32"/>
          <w:szCs w:val="32"/>
          <w:lang w:val="en-US" w:eastAsia="zh-CN" w:bidi="ar-SA"/>
          <w14:textFill>
            <w14:solidFill>
              <w14:schemeClr w14:val="tx1"/>
            </w14:solidFill>
          </w14:textFill>
        </w:rPr>
      </w:pPr>
      <w:r>
        <w:rPr>
          <w:rFonts w:hint="eastAsia" w:ascii="仿宋" w:hAnsi="仿宋" w:eastAsia="仿宋" w:cstheme="minorBidi"/>
          <w:color w:val="000000" w:themeColor="text1"/>
          <w:kern w:val="0"/>
          <w:sz w:val="32"/>
          <w:szCs w:val="32"/>
          <w:lang w:val="en-US" w:eastAsia="zh-CN" w:bidi="ar-SA"/>
          <w14:textFill>
            <w14:solidFill>
              <w14:schemeClr w14:val="tx1"/>
            </w14:solidFill>
          </w14:textFill>
        </w:rPr>
        <w:t>全年全区参加基本医疗保险人数86892人，其中居民医疗保险69959人，职工医疗保险参保人数16933人（在职职工参加职工医疗保险14532人，退休人员参加职工医疗保险2401人）。年末参加基本养老保险</w:t>
      </w:r>
      <w:r>
        <w:rPr>
          <w:rFonts w:hint="default" w:ascii="仿宋" w:hAnsi="仿宋" w:eastAsia="仿宋" w:cstheme="minorBidi"/>
          <w:color w:val="000000" w:themeColor="text1"/>
          <w:kern w:val="0"/>
          <w:sz w:val="32"/>
          <w:szCs w:val="32"/>
          <w:lang w:val="en-US" w:eastAsia="zh-CN" w:bidi="ar-SA"/>
          <w14:textFill>
            <w14:solidFill>
              <w14:schemeClr w14:val="tx1"/>
            </w14:solidFill>
          </w14:textFill>
        </w:rPr>
        <w:t>54416</w:t>
      </w:r>
      <w:r>
        <w:rPr>
          <w:rFonts w:hint="eastAsia" w:ascii="仿宋" w:hAnsi="仿宋" w:eastAsia="仿宋" w:cstheme="minorBidi"/>
          <w:color w:val="000000" w:themeColor="text1"/>
          <w:kern w:val="0"/>
          <w:sz w:val="32"/>
          <w:szCs w:val="32"/>
          <w:lang w:val="en-US" w:eastAsia="zh-CN" w:bidi="ar-SA"/>
          <w14:textFill>
            <w14:solidFill>
              <w14:schemeClr w14:val="tx1"/>
            </w14:solidFill>
          </w14:textFill>
        </w:rPr>
        <w:t>人，其中：企业养老保险参保21157人，城乡居民养老保险参保33</w:t>
      </w:r>
      <w:r>
        <w:rPr>
          <w:rFonts w:hint="default" w:ascii="仿宋" w:hAnsi="仿宋" w:eastAsia="仿宋" w:cstheme="minorBidi"/>
          <w:color w:val="000000" w:themeColor="text1"/>
          <w:kern w:val="0"/>
          <w:sz w:val="32"/>
          <w:szCs w:val="32"/>
          <w:lang w:val="en-US" w:eastAsia="zh-CN" w:bidi="ar-SA"/>
          <w14:textFill>
            <w14:solidFill>
              <w14:schemeClr w14:val="tx1"/>
            </w14:solidFill>
          </w14:textFill>
        </w:rPr>
        <w:t>259</w:t>
      </w:r>
      <w:r>
        <w:rPr>
          <w:rFonts w:hint="eastAsia" w:ascii="仿宋" w:hAnsi="仿宋" w:eastAsia="仿宋" w:cstheme="minorBidi"/>
          <w:color w:val="000000" w:themeColor="text1"/>
          <w:kern w:val="0"/>
          <w:sz w:val="32"/>
          <w:szCs w:val="32"/>
          <w:lang w:val="en-US" w:eastAsia="zh-CN" w:bidi="ar-SA"/>
          <w14:textFill>
            <w14:solidFill>
              <w14:schemeClr w14:val="tx1"/>
            </w14:solidFill>
          </w14:textFill>
        </w:rPr>
        <w:t>人。在企业养老保险中，在职职工参保18749人，增长21%；离退休人员参保2408人，增长8%。参加失业保险人数12</w:t>
      </w:r>
      <w:r>
        <w:rPr>
          <w:rFonts w:hint="default" w:ascii="仿宋" w:hAnsi="仿宋" w:eastAsia="仿宋" w:cstheme="minorBidi"/>
          <w:color w:val="000000" w:themeColor="text1"/>
          <w:kern w:val="0"/>
          <w:sz w:val="32"/>
          <w:szCs w:val="32"/>
          <w:lang w:val="en-US" w:eastAsia="zh-CN" w:bidi="ar-SA"/>
          <w14:textFill>
            <w14:solidFill>
              <w14:schemeClr w14:val="tx1"/>
            </w14:solidFill>
          </w14:textFill>
        </w:rPr>
        <w:t>426</w:t>
      </w:r>
      <w:r>
        <w:rPr>
          <w:rFonts w:hint="eastAsia" w:ascii="仿宋" w:hAnsi="仿宋" w:eastAsia="仿宋" w:cstheme="minorBidi"/>
          <w:color w:val="000000" w:themeColor="text1"/>
          <w:kern w:val="0"/>
          <w:sz w:val="32"/>
          <w:szCs w:val="32"/>
          <w:lang w:val="en-US" w:eastAsia="zh-CN" w:bidi="ar-SA"/>
          <w14:textFill>
            <w14:solidFill>
              <w14:schemeClr w14:val="tx1"/>
            </w14:solidFill>
          </w14:textFill>
        </w:rPr>
        <w:t>人。参加工伤保险人数15</w:t>
      </w:r>
      <w:r>
        <w:rPr>
          <w:rFonts w:hint="default" w:ascii="仿宋" w:hAnsi="仿宋" w:eastAsia="仿宋" w:cstheme="minorBidi"/>
          <w:color w:val="000000" w:themeColor="text1"/>
          <w:kern w:val="0"/>
          <w:sz w:val="32"/>
          <w:szCs w:val="32"/>
          <w:lang w:val="en-US" w:eastAsia="zh-CN" w:bidi="ar-SA"/>
          <w14:textFill>
            <w14:solidFill>
              <w14:schemeClr w14:val="tx1"/>
            </w14:solidFill>
          </w14:textFill>
        </w:rPr>
        <w:t>795</w:t>
      </w:r>
      <w:r>
        <w:rPr>
          <w:rFonts w:hint="eastAsia" w:ascii="仿宋" w:hAnsi="仿宋" w:eastAsia="仿宋" w:cstheme="minorBidi"/>
          <w:color w:val="000000" w:themeColor="text1"/>
          <w:kern w:val="0"/>
          <w:sz w:val="32"/>
          <w:szCs w:val="32"/>
          <w:lang w:val="en-US" w:eastAsia="zh-CN" w:bidi="ar-SA"/>
          <w14:textFill>
            <w14:solidFill>
              <w14:schemeClr w14:val="tx1"/>
            </w14:solidFill>
          </w14:textFill>
        </w:rPr>
        <w:t>人。</w:t>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年城区最低生活保障月标准630元，农村最低生活保障年标准440元。全年共救助城区最低生活保障对象27842人次，发放城区最低生活保障金993.3953万元。全年共救助农村最低生活保障对象12559人次，发放农村最低生活保障金301.099万元。全年共救助特困人员923人次，发放特困救助供养金70.8566万元，全年共临时救助困难群众16人次，发放临时救助金2.7万元，人均救助1687.5元。接受社会各界捐款捐物100000元。</w:t>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全年共办理结婚登记455对，离婚登记167对，补领结婚登记证199对，补领离婚登记证21对。</w:t>
      </w: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十、</w:t>
      </w:r>
      <w:r>
        <w:rPr>
          <w:rFonts w:hint="eastAsia" w:ascii="仿宋" w:hAnsi="仿宋" w:eastAsia="仿宋" w:cs="仿宋"/>
          <w:b/>
          <w:color w:val="000000" w:themeColor="text1"/>
          <w:sz w:val="32"/>
          <w:szCs w:val="32"/>
          <w14:textFill>
            <w14:solidFill>
              <w14:schemeClr w14:val="tx1"/>
            </w14:solidFill>
          </w14:textFill>
        </w:rPr>
        <w:t>科学技术和教育</w:t>
      </w:r>
    </w:p>
    <w:p>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全年全区新认定国家高新技术企业10家，同比新增6家，总数达到30家；备案入库国家科技型中小企业33家。拥有河南省节能减排科技创新示范企业2家；河南省院士工作站2个；河南省工程技术研究中心21家。全年共取得河南省科学技术奖1项。完成技术合同登记额5.78亿元，全年争取各类科技政策性资金2204.5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仿宋"/>
          <w:color w:val="auto"/>
          <w:kern w:val="0"/>
          <w:sz w:val="32"/>
          <w:szCs w:val="32"/>
          <w:lang w:val="en-US" w:eastAsia="zh-CN" w:bidi="ar-SA"/>
        </w:rPr>
        <w:t>全区普通高中1所，招生880人，在校生2655人，毕业生719人。初中学校7所，招生1843人，在校生5478人，毕业生1829人。普通小学13所，招生1268人，在校生7943人，毕业生1336人。全区幼儿园在园幼儿4368人，其中公办幼儿园在园幼儿1449人，民办幼儿园在园幼儿2919人。资助困难学生2049人次，共计发放各项资助金109.86万元。</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val="0"/>
          <w:color w:val="auto"/>
          <w:kern w:val="0"/>
          <w:sz w:val="28"/>
          <w:szCs w:val="28"/>
          <w:shd w:val="clear" w:color="auto" w:fill="FFFFFF"/>
          <w:lang w:val="en-US" w:eastAsia="zh-CN"/>
        </w:rPr>
      </w:pPr>
      <w:r>
        <w:rPr>
          <w:rFonts w:hint="eastAsia" w:ascii="仿宋" w:hAnsi="仿宋" w:eastAsia="仿宋" w:cs="仿宋"/>
          <w:b/>
          <w:bCs w:val="0"/>
          <w:color w:val="auto"/>
          <w:kern w:val="0"/>
          <w:sz w:val="28"/>
          <w:szCs w:val="28"/>
          <w:shd w:val="clear" w:color="auto" w:fill="FFFFFF"/>
          <w:lang w:val="en-US" w:eastAsia="zh-CN"/>
        </w:rPr>
        <w:t>表3：2022年全区各类学校招生和在校生情况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auto"/>
          <w:kern w:val="0"/>
          <w:sz w:val="28"/>
          <w:szCs w:val="28"/>
        </w:rPr>
      </w:pPr>
      <w:r>
        <w:rPr>
          <w:rFonts w:hint="eastAsia" w:ascii="仿宋" w:hAnsi="仿宋" w:eastAsia="仿宋" w:cs="宋体"/>
          <w:color w:val="auto"/>
          <w:kern w:val="0"/>
          <w:sz w:val="32"/>
          <w:szCs w:val="32"/>
        </w:rPr>
        <w:t xml:space="preserve">                                     </w:t>
      </w:r>
      <w:r>
        <w:rPr>
          <w:rFonts w:hint="eastAsia" w:ascii="仿宋" w:hAnsi="仿宋" w:eastAsia="仿宋" w:cs="宋体"/>
          <w:color w:val="auto"/>
          <w:kern w:val="0"/>
          <w:sz w:val="28"/>
          <w:szCs w:val="28"/>
        </w:rPr>
        <w:t xml:space="preserve">  单位：人</w:t>
      </w:r>
    </w:p>
    <w:tbl>
      <w:tblPr>
        <w:tblStyle w:val="8"/>
        <w:tblW w:w="8386" w:type="dxa"/>
        <w:tblInd w:w="136" w:type="dxa"/>
        <w:tblLayout w:type="fixed"/>
        <w:tblCellMar>
          <w:top w:w="0" w:type="dxa"/>
          <w:left w:w="108" w:type="dxa"/>
          <w:bottom w:w="0" w:type="dxa"/>
          <w:right w:w="108" w:type="dxa"/>
        </w:tblCellMar>
      </w:tblPr>
      <w:tblGrid>
        <w:gridCol w:w="2312"/>
        <w:gridCol w:w="1812"/>
        <w:gridCol w:w="2131"/>
        <w:gridCol w:w="2131"/>
      </w:tblGrid>
      <w:tr>
        <w:tblPrEx>
          <w:tblCellMar>
            <w:top w:w="0" w:type="dxa"/>
            <w:left w:w="108" w:type="dxa"/>
            <w:bottom w:w="0" w:type="dxa"/>
            <w:right w:w="108" w:type="dxa"/>
          </w:tblCellMar>
        </w:tblPrEx>
        <w:tc>
          <w:tcPr>
            <w:tcW w:w="2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rPr>
                <w:rFonts w:ascii="仿宋" w:hAnsi="仿宋" w:eastAsia="仿宋" w:cs="宋体"/>
                <w:color w:val="auto"/>
                <w:kern w:val="0"/>
                <w:sz w:val="28"/>
                <w:szCs w:val="28"/>
              </w:rPr>
            </w:pPr>
            <w:r>
              <w:rPr>
                <w:rFonts w:hint="eastAsia" w:ascii="仿宋" w:hAnsi="仿宋" w:eastAsia="仿宋" w:cs="宋体"/>
                <w:color w:val="auto"/>
                <w:kern w:val="0"/>
                <w:sz w:val="28"/>
                <w:szCs w:val="28"/>
              </w:rPr>
              <w:t>指  标</w:t>
            </w:r>
          </w:p>
        </w:tc>
        <w:tc>
          <w:tcPr>
            <w:tcW w:w="181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招生数</w:t>
            </w:r>
          </w:p>
        </w:tc>
        <w:tc>
          <w:tcPr>
            <w:tcW w:w="213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140" w:firstLineChars="50"/>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在校生数</w:t>
            </w:r>
          </w:p>
        </w:tc>
        <w:tc>
          <w:tcPr>
            <w:tcW w:w="213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毕业生数</w:t>
            </w:r>
          </w:p>
        </w:tc>
      </w:tr>
      <w:tr>
        <w:tblPrEx>
          <w:tblCellMar>
            <w:top w:w="0" w:type="dxa"/>
            <w:left w:w="108" w:type="dxa"/>
            <w:bottom w:w="0" w:type="dxa"/>
            <w:right w:w="108" w:type="dxa"/>
          </w:tblCellMar>
        </w:tblPrEx>
        <w:tc>
          <w:tcPr>
            <w:tcW w:w="2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0" w:firstLineChars="18"/>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普通高中</w:t>
            </w:r>
          </w:p>
        </w:tc>
        <w:tc>
          <w:tcPr>
            <w:tcW w:w="1812" w:type="dxa"/>
            <w:tcBorders>
              <w:top w:val="single" w:color="000000" w:sz="4" w:space="0"/>
              <w:left w:val="nil"/>
              <w:bottom w:val="single" w:color="000000" w:sz="4" w:space="0"/>
              <w:right w:val="single" w:color="000000" w:sz="4" w:space="0"/>
            </w:tcBorders>
            <w:vAlign w:val="center"/>
          </w:tcPr>
          <w:p>
            <w:pPr>
              <w:widowControl/>
              <w:ind w:firstLine="64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32"/>
                <w:szCs w:val="32"/>
                <w:lang w:val="en-US" w:eastAsia="zh-CN"/>
              </w:rPr>
              <w:t>880</w:t>
            </w:r>
          </w:p>
        </w:tc>
        <w:tc>
          <w:tcPr>
            <w:tcW w:w="2131" w:type="dxa"/>
            <w:tcBorders>
              <w:top w:val="single" w:color="000000" w:sz="4" w:space="0"/>
              <w:left w:val="nil"/>
              <w:bottom w:val="single" w:color="000000" w:sz="4" w:space="0"/>
              <w:right w:val="single" w:color="000000" w:sz="4" w:space="0"/>
            </w:tcBorders>
            <w:vAlign w:val="center"/>
          </w:tcPr>
          <w:p>
            <w:pPr>
              <w:widowControl/>
              <w:spacing w:line="480" w:lineRule="auto"/>
              <w:ind w:firstLine="64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32"/>
                <w:szCs w:val="32"/>
                <w:lang w:val="en-US" w:eastAsia="zh-CN"/>
              </w:rPr>
              <w:t>2655</w:t>
            </w:r>
          </w:p>
        </w:tc>
        <w:tc>
          <w:tcPr>
            <w:tcW w:w="2131" w:type="dxa"/>
            <w:tcBorders>
              <w:top w:val="single" w:color="000000" w:sz="4" w:space="0"/>
              <w:left w:val="nil"/>
              <w:bottom w:val="single" w:color="000000" w:sz="4" w:space="0"/>
              <w:right w:val="single" w:color="000000" w:sz="4" w:space="0"/>
            </w:tcBorders>
            <w:vAlign w:val="center"/>
          </w:tcPr>
          <w:p>
            <w:pPr>
              <w:widowControl/>
              <w:spacing w:line="480" w:lineRule="auto"/>
              <w:ind w:firstLine="64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32"/>
                <w:szCs w:val="32"/>
                <w:lang w:val="en-US" w:eastAsia="zh-CN"/>
              </w:rPr>
              <w:t>719</w:t>
            </w:r>
          </w:p>
        </w:tc>
      </w:tr>
      <w:tr>
        <w:tblPrEx>
          <w:tblCellMar>
            <w:top w:w="0" w:type="dxa"/>
            <w:left w:w="108" w:type="dxa"/>
            <w:bottom w:w="0" w:type="dxa"/>
            <w:right w:w="108" w:type="dxa"/>
          </w:tblCellMar>
        </w:tblPrEx>
        <w:tc>
          <w:tcPr>
            <w:tcW w:w="2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0" w:firstLineChars="18"/>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初中学校</w:t>
            </w:r>
          </w:p>
        </w:tc>
        <w:tc>
          <w:tcPr>
            <w:tcW w:w="1812" w:type="dxa"/>
            <w:tcBorders>
              <w:top w:val="single" w:color="000000" w:sz="4" w:space="0"/>
              <w:left w:val="nil"/>
              <w:bottom w:val="single" w:color="000000" w:sz="4" w:space="0"/>
              <w:right w:val="single" w:color="000000" w:sz="4" w:space="0"/>
            </w:tcBorders>
            <w:vAlign w:val="center"/>
          </w:tcPr>
          <w:p>
            <w:pPr>
              <w:widowControl/>
              <w:spacing w:line="480" w:lineRule="auto"/>
              <w:ind w:firstLine="64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32"/>
                <w:szCs w:val="32"/>
                <w:lang w:val="en-US" w:eastAsia="zh-CN"/>
              </w:rPr>
              <w:t>1843</w:t>
            </w:r>
          </w:p>
        </w:tc>
        <w:tc>
          <w:tcPr>
            <w:tcW w:w="2131" w:type="dxa"/>
            <w:tcBorders>
              <w:top w:val="single" w:color="000000" w:sz="4" w:space="0"/>
              <w:left w:val="nil"/>
              <w:bottom w:val="single" w:color="000000" w:sz="4" w:space="0"/>
              <w:right w:val="single" w:color="000000" w:sz="4" w:space="0"/>
            </w:tcBorders>
            <w:vAlign w:val="center"/>
          </w:tcPr>
          <w:p>
            <w:pPr>
              <w:widowControl/>
              <w:spacing w:line="480" w:lineRule="auto"/>
              <w:ind w:firstLine="64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32"/>
                <w:szCs w:val="32"/>
                <w:lang w:val="en-US" w:eastAsia="zh-CN"/>
              </w:rPr>
              <w:t>5478</w:t>
            </w:r>
          </w:p>
        </w:tc>
        <w:tc>
          <w:tcPr>
            <w:tcW w:w="2131" w:type="dxa"/>
            <w:tcBorders>
              <w:top w:val="single" w:color="000000" w:sz="4" w:space="0"/>
              <w:left w:val="nil"/>
              <w:bottom w:val="single" w:color="000000" w:sz="4" w:space="0"/>
              <w:right w:val="single" w:color="000000" w:sz="4" w:space="0"/>
            </w:tcBorders>
            <w:vAlign w:val="center"/>
          </w:tcPr>
          <w:p>
            <w:pPr>
              <w:widowControl/>
              <w:spacing w:line="480" w:lineRule="auto"/>
              <w:ind w:firstLine="64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32"/>
                <w:szCs w:val="32"/>
                <w:lang w:val="en-US" w:eastAsia="zh-CN"/>
              </w:rPr>
              <w:t>1829</w:t>
            </w:r>
          </w:p>
        </w:tc>
      </w:tr>
      <w:tr>
        <w:tc>
          <w:tcPr>
            <w:tcW w:w="23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50" w:firstLineChars="18"/>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普通小学</w:t>
            </w:r>
          </w:p>
        </w:tc>
        <w:tc>
          <w:tcPr>
            <w:tcW w:w="1812" w:type="dxa"/>
            <w:tcBorders>
              <w:top w:val="single" w:color="000000" w:sz="4" w:space="0"/>
              <w:left w:val="nil"/>
              <w:bottom w:val="single" w:color="000000" w:sz="4" w:space="0"/>
              <w:right w:val="single" w:color="000000" w:sz="4" w:space="0"/>
            </w:tcBorders>
            <w:vAlign w:val="center"/>
          </w:tcPr>
          <w:p>
            <w:pPr>
              <w:widowControl/>
              <w:spacing w:line="480" w:lineRule="auto"/>
              <w:ind w:firstLine="64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32"/>
                <w:szCs w:val="32"/>
                <w:lang w:val="en-US" w:eastAsia="zh-CN"/>
              </w:rPr>
              <w:t>1268</w:t>
            </w:r>
          </w:p>
        </w:tc>
        <w:tc>
          <w:tcPr>
            <w:tcW w:w="2131" w:type="dxa"/>
            <w:tcBorders>
              <w:top w:val="single" w:color="000000" w:sz="4" w:space="0"/>
              <w:left w:val="nil"/>
              <w:bottom w:val="single" w:color="000000" w:sz="4" w:space="0"/>
              <w:right w:val="single" w:color="000000" w:sz="4" w:space="0"/>
            </w:tcBorders>
            <w:vAlign w:val="center"/>
          </w:tcPr>
          <w:p>
            <w:pPr>
              <w:widowControl/>
              <w:spacing w:line="480" w:lineRule="auto"/>
              <w:ind w:firstLine="64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32"/>
                <w:szCs w:val="32"/>
                <w:lang w:val="en-US" w:eastAsia="zh-CN"/>
              </w:rPr>
              <w:t>7943</w:t>
            </w:r>
          </w:p>
        </w:tc>
        <w:tc>
          <w:tcPr>
            <w:tcW w:w="2131" w:type="dxa"/>
            <w:tcBorders>
              <w:top w:val="single" w:color="000000" w:sz="4" w:space="0"/>
              <w:left w:val="nil"/>
              <w:bottom w:val="single" w:color="000000" w:sz="4" w:space="0"/>
              <w:right w:val="single" w:color="000000" w:sz="4" w:space="0"/>
            </w:tcBorders>
            <w:vAlign w:val="center"/>
          </w:tcPr>
          <w:p>
            <w:pPr>
              <w:widowControl/>
              <w:spacing w:line="480" w:lineRule="auto"/>
              <w:ind w:firstLine="64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32"/>
                <w:szCs w:val="32"/>
                <w:lang w:val="en-US" w:eastAsia="zh-CN"/>
              </w:rPr>
              <w:t>1336</w:t>
            </w:r>
          </w:p>
        </w:tc>
      </w:tr>
    </w:tbl>
    <w:p>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
          <w:bCs w:val="0"/>
          <w:color w:val="C00000"/>
          <w:kern w:val="0"/>
          <w:sz w:val="28"/>
          <w:szCs w:val="28"/>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十一</w:t>
      </w:r>
      <w:r>
        <w:rPr>
          <w:rFonts w:hint="eastAsia" w:ascii="仿宋" w:hAnsi="仿宋" w:eastAsia="仿宋" w:cs="仿宋"/>
          <w:b/>
          <w:color w:val="000000" w:themeColor="text1"/>
          <w:sz w:val="32"/>
          <w:szCs w:val="32"/>
          <w14:textFill>
            <w14:solidFill>
              <w14:schemeClr w14:val="tx1"/>
            </w14:solidFill>
          </w14:textFill>
        </w:rPr>
        <w:t>、文化、卫生和体育</w:t>
      </w:r>
    </w:p>
    <w:p>
      <w:pPr>
        <w:pStyle w:val="14"/>
        <w:keepNext w:val="0"/>
        <w:keepLines w:val="0"/>
        <w:pageBreakBefore w:val="0"/>
        <w:kinsoku/>
        <w:wordWrap/>
        <w:overflowPunct/>
        <w:topLinePunct w:val="0"/>
        <w:autoSpaceDE/>
        <w:autoSpaceDN/>
        <w:bidi w:val="0"/>
        <w:adjustRightInd/>
        <w:snapToGrid/>
        <w:spacing w:line="560" w:lineRule="exact"/>
        <w:ind w:firstLine="64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全年全区共有各类艺术表演团体53个，文化馆1个，图书馆1个，各街道办事处文化站9个、村（社区）文化中心48个、农家书屋56个，国家级非物质文化遗产项目（常家武虎、小尚虎舞）2项，省级非物质文化遗产保护项目（白猿通背拳、东冯封文武高跷、李封天目瓷烧制技艺、造店查拳、小尚炮捶）5项，市级非物质文化遗产保护项目10项；全国重点文物保护单位（府城遗址、许衡墓）2处，省级文物保护单位（靳德茂墓、张昺墓、北朱村民居含张昺祠、太行区第四专区及党政军机关旧址、府城王家祠堂）5处，省保附属建筑（英福公司李封矿矿师办公室旧址、王封矿发电机房）2处，市级文物保护单位38处。</w:t>
      </w:r>
    </w:p>
    <w:p>
      <w:pPr>
        <w:pStyle w:val="14"/>
        <w:keepNext w:val="0"/>
        <w:keepLines w:val="0"/>
        <w:pageBreakBefore w:val="0"/>
        <w:kinsoku/>
        <w:wordWrap/>
        <w:overflowPunct/>
        <w:topLinePunct w:val="0"/>
        <w:autoSpaceDE/>
        <w:autoSpaceDN/>
        <w:bidi w:val="0"/>
        <w:adjustRightInd/>
        <w:snapToGrid/>
        <w:spacing w:line="560" w:lineRule="exact"/>
        <w:ind w:firstLine="64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全年全区共有卫生机构83个，其中：医院、卫生院12个。医院、卫生院病床680张。卫生技术人员775人（含医师和护士），其中：执业医师和执业助理医师326人，注册护士449人。疾病预防控制中心（防疫站）1个，其中卫生技术人员6人（含医师和护士）。妇幼保健站1个，其中卫生技术人员6人（含医师和护士）。卫生监督机构（监督所）1个。</w:t>
      </w:r>
    </w:p>
    <w:p>
      <w:pPr>
        <w:pStyle w:val="14"/>
        <w:keepNext w:val="0"/>
        <w:keepLines w:val="0"/>
        <w:pageBreakBefore w:val="0"/>
        <w:kinsoku/>
        <w:wordWrap/>
        <w:overflowPunct/>
        <w:topLinePunct w:val="0"/>
        <w:autoSpaceDE/>
        <w:autoSpaceDN/>
        <w:bidi w:val="0"/>
        <w:adjustRightInd/>
        <w:snapToGrid/>
        <w:spacing w:line="560" w:lineRule="exact"/>
        <w:ind w:firstLine="64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全年全区共开展经常性群众文体活动150余次，举办全区性体育健身活动20余次。全区所有的行政村、社区已实现了体育健身工程的全覆盖，提升改造笼式篮球场2块，新建笼式足球场1个，为村（社区）更换健身路径12套，新型农民体育健身工程3套。</w:t>
      </w: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十</w:t>
      </w:r>
      <w:r>
        <w:rPr>
          <w:rFonts w:hint="eastAsia" w:ascii="仿宋" w:hAnsi="仿宋" w:eastAsia="仿宋" w:cs="仿宋"/>
          <w:b/>
          <w:color w:val="000000" w:themeColor="text1"/>
          <w:sz w:val="32"/>
          <w:szCs w:val="32"/>
          <w:lang w:val="en-US" w:eastAsia="zh-CN"/>
          <w14:textFill>
            <w14:solidFill>
              <w14:schemeClr w14:val="tx1"/>
            </w14:solidFill>
          </w14:textFill>
        </w:rPr>
        <w:t>二</w:t>
      </w:r>
      <w:r>
        <w:rPr>
          <w:rFonts w:hint="eastAsia" w:ascii="仿宋" w:hAnsi="仿宋" w:eastAsia="仿宋" w:cs="仿宋"/>
          <w:b/>
          <w:color w:val="000000" w:themeColor="text1"/>
          <w:sz w:val="32"/>
          <w:szCs w:val="32"/>
          <w14:textFill>
            <w14:solidFill>
              <w14:schemeClr w14:val="tx1"/>
            </w14:solidFill>
          </w14:textFill>
        </w:rPr>
        <w:t>、交通</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资源、环境和应急管理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FF0000"/>
          <w:kern w:val="0"/>
          <w:sz w:val="32"/>
          <w:szCs w:val="32"/>
          <w:lang w:eastAsia="zh-CN"/>
        </w:rPr>
      </w:pPr>
      <w:r>
        <w:rPr>
          <w:rFonts w:hint="eastAsia" w:ascii="仿宋" w:hAnsi="仿宋" w:eastAsia="仿宋" w:cs="仿宋"/>
          <w:color w:val="auto"/>
          <w:kern w:val="0"/>
          <w:sz w:val="32"/>
          <w:szCs w:val="32"/>
          <w:lang w:val="en-US" w:eastAsia="zh-CN"/>
        </w:rPr>
        <w:t>全年</w:t>
      </w:r>
      <w:r>
        <w:rPr>
          <w:rFonts w:hint="eastAsia" w:ascii="仿宋" w:hAnsi="仿宋" w:eastAsia="仿宋" w:cs="仿宋"/>
          <w:color w:val="auto"/>
          <w:kern w:val="0"/>
          <w:sz w:val="32"/>
          <w:szCs w:val="32"/>
        </w:rPr>
        <w:t>末全区公路通车总里程</w:t>
      </w:r>
      <w:r>
        <w:rPr>
          <w:rFonts w:hint="eastAsia" w:ascii="仿宋" w:hAnsi="仿宋" w:eastAsia="仿宋" w:cs="仿宋"/>
          <w:color w:val="auto"/>
          <w:kern w:val="0"/>
          <w:sz w:val="32"/>
          <w:szCs w:val="32"/>
          <w:lang w:val="en-US" w:eastAsia="zh-CN"/>
        </w:rPr>
        <w:t>206</w:t>
      </w:r>
      <w:r>
        <w:rPr>
          <w:rFonts w:hint="eastAsia" w:ascii="仿宋" w:hAnsi="仿宋" w:eastAsia="仿宋" w:cs="仿宋"/>
          <w:color w:val="auto"/>
          <w:kern w:val="0"/>
          <w:sz w:val="32"/>
          <w:szCs w:val="32"/>
        </w:rPr>
        <w:t>公里，其中干线公路总里程</w:t>
      </w:r>
      <w:r>
        <w:rPr>
          <w:rFonts w:hint="eastAsia" w:ascii="仿宋" w:hAnsi="仿宋" w:eastAsia="仿宋" w:cs="仿宋"/>
          <w:color w:val="auto"/>
          <w:kern w:val="0"/>
          <w:sz w:val="32"/>
          <w:szCs w:val="32"/>
          <w:lang w:val="en-US" w:eastAsia="zh-CN"/>
        </w:rPr>
        <w:t>64</w:t>
      </w:r>
      <w:r>
        <w:rPr>
          <w:rFonts w:hint="eastAsia" w:ascii="仿宋" w:hAnsi="仿宋" w:eastAsia="仿宋" w:cs="仿宋"/>
          <w:color w:val="auto"/>
          <w:kern w:val="0"/>
          <w:sz w:val="32"/>
          <w:szCs w:val="32"/>
        </w:rPr>
        <w:t>公里，农村公路总里程</w:t>
      </w:r>
      <w:r>
        <w:rPr>
          <w:rFonts w:hint="eastAsia" w:ascii="仿宋" w:hAnsi="仿宋" w:eastAsia="仿宋" w:cs="仿宋"/>
          <w:color w:val="auto"/>
          <w:kern w:val="0"/>
          <w:sz w:val="32"/>
          <w:szCs w:val="32"/>
          <w:lang w:val="en-US" w:eastAsia="zh-CN"/>
        </w:rPr>
        <w:t>141</w:t>
      </w:r>
      <w:r>
        <w:rPr>
          <w:rFonts w:hint="eastAsia" w:ascii="仿宋" w:hAnsi="仿宋" w:eastAsia="仿宋" w:cs="仿宋"/>
          <w:color w:val="auto"/>
          <w:kern w:val="0"/>
          <w:sz w:val="32"/>
          <w:szCs w:val="32"/>
        </w:rPr>
        <w:t>公里。全区行政村村村通油路或水泥路</w:t>
      </w:r>
      <w:r>
        <w:rPr>
          <w:rFonts w:hint="eastAsia" w:ascii="仿宋" w:hAnsi="仿宋" w:eastAsia="仿宋" w:cs="仿宋"/>
          <w:color w:val="auto"/>
          <w:kern w:val="0"/>
          <w:sz w:val="32"/>
          <w:szCs w:val="32"/>
          <w:lang w:val="en-US" w:eastAsia="zh-CN"/>
        </w:rPr>
        <w:t>76</w:t>
      </w:r>
      <w:r>
        <w:rPr>
          <w:rFonts w:hint="eastAsia" w:ascii="仿宋" w:hAnsi="仿宋" w:eastAsia="仿宋" w:cs="仿宋"/>
          <w:color w:val="auto"/>
          <w:kern w:val="0"/>
          <w:sz w:val="32"/>
          <w:szCs w:val="32"/>
        </w:rPr>
        <w:t>公里</w:t>
      </w:r>
      <w:r>
        <w:rPr>
          <w:rFonts w:hint="eastAsia" w:ascii="仿宋" w:hAnsi="仿宋" w:eastAsia="仿宋" w:cs="仿宋"/>
          <w:color w:val="auto"/>
          <w:kern w:val="0"/>
          <w:sz w:val="32"/>
          <w:szCs w:val="32"/>
          <w:lang w:eastAsia="zh-CN"/>
        </w:rPr>
        <w:t>。</w:t>
      </w:r>
    </w:p>
    <w:p>
      <w:pPr>
        <w:pStyle w:val="3"/>
        <w:ind w:left="0" w:leftChars="0" w:firstLine="640" w:firstLineChars="200"/>
        <w:rPr>
          <w:rFonts w:hint="default"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全年全区全社会能耗总量比上年增长18.7%，万元GDP能耗增长12.3%。</w:t>
      </w:r>
    </w:p>
    <w:p>
      <w:pPr>
        <w:pStyle w:val="3"/>
        <w:ind w:left="0" w:leftChars="0"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全年全区PM10年均浓度为78微克/立方米，五城区排名第一，同比上升4.00%，低于目标值17微克/立方米(2022年PM10市定目标值95微克/立方米);PM2.5年均浓度为46微克/立方米，五城区排名第一，同比上升4.55%，低于目标值5微克/立方米(2022年PM2.5市定目标值51微克/立方米);优良天数为220天，五城区排名并列第一，同比下降9.47%，超出目标值5天(2022年优良天市定目标值215天);重度及以上污染天数为8天，五城区排名第一，同比下降27.27%，低于目标值4天(2022年重度及以上污染天目标值12天)。</w:t>
      </w:r>
    </w:p>
    <w:p>
      <w:pPr>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全年全区完成造林面积75.3公顷，其中人工造林面积75.3公顷。全区参加义务植树5万余人次，完成义务植树20万余株，其中重点地区防护林工程完成0亩。年末共有国家级自然保护区1个，省级森林公园2个。</w:t>
      </w:r>
    </w:p>
    <w:p>
      <w:pPr>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全年全区农作物受灾面积</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公顷，洪涝干旱和地质灾害造成直接经济损失</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万元</w:t>
      </w:r>
      <w:r>
        <w:rPr>
          <w:rFonts w:hint="eastAsia" w:ascii="仿宋" w:hAnsi="仿宋" w:eastAsia="仿宋" w:cs="仿宋"/>
          <w:color w:val="auto"/>
          <w:kern w:val="0"/>
          <w:sz w:val="32"/>
          <w:szCs w:val="32"/>
          <w:lang w:eastAsia="zh-CN"/>
        </w:rPr>
        <w:t>。</w:t>
      </w:r>
    </w:p>
    <w:p>
      <w:pPr>
        <w:ind w:firstLine="640" w:firstLineChars="200"/>
        <w:rPr>
          <w:rFonts w:hint="eastAsia"/>
          <w:color w:val="auto"/>
        </w:rPr>
      </w:pPr>
      <w:r>
        <w:rPr>
          <w:rFonts w:hint="default" w:ascii="仿宋" w:hAnsi="仿宋" w:eastAsia="仿宋" w:cs="仿宋"/>
          <w:color w:val="auto"/>
          <w:kern w:val="0"/>
          <w:sz w:val="32"/>
          <w:szCs w:val="32"/>
        </w:rPr>
        <w:t>全年全</w:t>
      </w:r>
      <w:r>
        <w:rPr>
          <w:rFonts w:hint="eastAsia" w:ascii="仿宋" w:hAnsi="仿宋" w:eastAsia="仿宋" w:cs="仿宋"/>
          <w:color w:val="auto"/>
          <w:kern w:val="0"/>
          <w:sz w:val="32"/>
          <w:szCs w:val="32"/>
          <w:lang w:val="en-US" w:eastAsia="zh-CN"/>
        </w:rPr>
        <w:t>区</w:t>
      </w:r>
      <w:r>
        <w:rPr>
          <w:rFonts w:hint="default" w:ascii="仿宋" w:hAnsi="仿宋" w:eastAsia="仿宋" w:cs="仿宋"/>
          <w:color w:val="auto"/>
          <w:kern w:val="0"/>
          <w:sz w:val="32"/>
          <w:szCs w:val="32"/>
        </w:rPr>
        <w:t>共发生各类生产安全事故</w:t>
      </w:r>
      <w:r>
        <w:rPr>
          <w:rFonts w:hint="eastAsia" w:ascii="仿宋" w:hAnsi="仿宋" w:eastAsia="仿宋" w:cs="仿宋"/>
          <w:color w:val="auto"/>
          <w:kern w:val="0"/>
          <w:sz w:val="32"/>
          <w:szCs w:val="32"/>
          <w:lang w:val="en-US" w:eastAsia="zh-CN"/>
        </w:rPr>
        <w:t>0</w:t>
      </w:r>
      <w:r>
        <w:rPr>
          <w:rFonts w:hint="default" w:ascii="仿宋" w:hAnsi="仿宋" w:eastAsia="仿宋" w:cs="仿宋"/>
          <w:color w:val="auto"/>
          <w:kern w:val="0"/>
          <w:sz w:val="32"/>
          <w:szCs w:val="32"/>
        </w:rPr>
        <w:t>起，死亡</w:t>
      </w:r>
      <w:r>
        <w:rPr>
          <w:rFonts w:hint="eastAsia" w:ascii="仿宋" w:hAnsi="仿宋" w:eastAsia="仿宋" w:cs="仿宋"/>
          <w:color w:val="auto"/>
          <w:kern w:val="0"/>
          <w:sz w:val="32"/>
          <w:szCs w:val="32"/>
          <w:lang w:val="en-US" w:eastAsia="zh-CN"/>
        </w:rPr>
        <w:t>0</w:t>
      </w:r>
      <w:r>
        <w:rPr>
          <w:rFonts w:hint="default" w:ascii="仿宋" w:hAnsi="仿宋" w:eastAsia="仿宋" w:cs="仿宋"/>
          <w:color w:val="auto"/>
          <w:kern w:val="0"/>
          <w:sz w:val="32"/>
          <w:szCs w:val="32"/>
        </w:rPr>
        <w:t>人。</w:t>
      </w:r>
    </w:p>
    <w:p>
      <w:pPr>
        <w:pStyle w:val="7"/>
        <w:keepNext w:val="0"/>
        <w:keepLines w:val="0"/>
        <w:pageBreakBefore w:val="0"/>
        <w:widowControl/>
        <w:kinsoku/>
        <w:wordWrap/>
        <w:overflowPunct/>
        <w:topLinePunct w:val="0"/>
        <w:autoSpaceDE/>
        <w:autoSpaceDN/>
        <w:bidi w:val="0"/>
        <w:adjustRightInd/>
        <w:snapToGrid/>
        <w:spacing w:line="560" w:lineRule="exact"/>
        <w:ind w:firstLine="642"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注：</w:t>
      </w:r>
    </w:p>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1.本公报202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年数据为初步统计结果。经最终核实，202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年全</w:t>
      </w:r>
      <w:r>
        <w:rPr>
          <w:rFonts w:hint="eastAsia" w:ascii="仿宋" w:hAnsi="仿宋" w:eastAsia="仿宋" w:cs="仿宋"/>
          <w:color w:val="000000" w:themeColor="text1"/>
          <w:sz w:val="24"/>
          <w:szCs w:val="24"/>
          <w:lang w:val="en-US" w:eastAsia="zh-CN"/>
          <w14:textFill>
            <w14:solidFill>
              <w14:schemeClr w14:val="tx1"/>
            </w14:solidFill>
          </w14:textFill>
        </w:rPr>
        <w:t>区</w:t>
      </w:r>
      <w:r>
        <w:rPr>
          <w:rFonts w:hint="eastAsia" w:ascii="仿宋" w:hAnsi="仿宋" w:eastAsia="仿宋" w:cs="仿宋"/>
          <w:color w:val="000000" w:themeColor="text1"/>
          <w:sz w:val="24"/>
          <w:szCs w:val="24"/>
          <w14:textFill>
            <w14:solidFill>
              <w14:schemeClr w14:val="tx1"/>
            </w14:solidFill>
          </w14:textFill>
        </w:rPr>
        <w:t>生产总值为</w:t>
      </w:r>
      <w:r>
        <w:rPr>
          <w:rFonts w:hint="eastAsia" w:ascii="仿宋" w:hAnsi="仿宋" w:eastAsia="仿宋" w:cs="仿宋"/>
          <w:color w:val="000000" w:themeColor="text1"/>
          <w:sz w:val="24"/>
          <w:szCs w:val="24"/>
          <w:lang w:val="en-US" w:eastAsia="zh-CN"/>
          <w14:textFill>
            <w14:solidFill>
              <w14:schemeClr w14:val="tx1"/>
            </w14:solidFill>
          </w14:textFill>
        </w:rPr>
        <w:t>149.3</w:t>
      </w:r>
      <w:r>
        <w:rPr>
          <w:rFonts w:hint="eastAsia" w:ascii="仿宋" w:hAnsi="仿宋" w:eastAsia="仿宋" w:cs="仿宋"/>
          <w:color w:val="000000" w:themeColor="text1"/>
          <w:sz w:val="24"/>
          <w:szCs w:val="24"/>
          <w14:textFill>
            <w14:solidFill>
              <w14:schemeClr w14:val="tx1"/>
            </w14:solidFill>
          </w14:textFill>
        </w:rPr>
        <w:t>亿元，比上年</w:t>
      </w:r>
      <w:r>
        <w:rPr>
          <w:rFonts w:hint="eastAsia" w:ascii="仿宋" w:hAnsi="仿宋" w:eastAsia="仿宋" w:cs="仿宋"/>
          <w:color w:val="000000" w:themeColor="text1"/>
          <w:sz w:val="24"/>
          <w:szCs w:val="24"/>
          <w:lang w:val="en-US" w:eastAsia="zh-CN"/>
          <w14:textFill>
            <w14:solidFill>
              <w14:schemeClr w14:val="tx1"/>
            </w14:solidFill>
          </w14:textFill>
        </w:rPr>
        <w:t>增长6.3</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其中：第一产业增加值</w:t>
      </w:r>
      <w:r>
        <w:rPr>
          <w:rFonts w:hint="eastAsia" w:ascii="仿宋" w:hAnsi="仿宋" w:eastAsia="仿宋" w:cs="仿宋"/>
          <w:color w:val="000000" w:themeColor="text1"/>
          <w:sz w:val="24"/>
          <w:szCs w:val="24"/>
          <w:lang w:val="en-US" w:eastAsia="zh-CN"/>
          <w14:textFill>
            <w14:solidFill>
              <w14:schemeClr w14:val="tx1"/>
            </w14:solidFill>
          </w14:textFill>
        </w:rPr>
        <w:t>0.6</w:t>
      </w:r>
      <w:r>
        <w:rPr>
          <w:rFonts w:hint="eastAsia" w:ascii="仿宋" w:hAnsi="仿宋" w:eastAsia="仿宋" w:cs="仿宋"/>
          <w:color w:val="000000" w:themeColor="text1"/>
          <w:sz w:val="24"/>
          <w:szCs w:val="24"/>
          <w:lang w:eastAsia="zh-CN"/>
          <w14:textFill>
            <w14:solidFill>
              <w14:schemeClr w14:val="tx1"/>
            </w14:solidFill>
          </w14:textFill>
        </w:rPr>
        <w:t>亿元，增长</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lang w:eastAsia="zh-CN"/>
          <w14:textFill>
            <w14:solidFill>
              <w14:schemeClr w14:val="tx1"/>
            </w14:solidFill>
          </w14:textFill>
        </w:rPr>
        <w:t>%；第二产业增加值</w:t>
      </w:r>
      <w:r>
        <w:rPr>
          <w:rFonts w:hint="eastAsia" w:ascii="仿宋" w:hAnsi="仿宋" w:eastAsia="仿宋" w:cs="仿宋"/>
          <w:color w:val="000000" w:themeColor="text1"/>
          <w:sz w:val="24"/>
          <w:szCs w:val="24"/>
          <w:lang w:val="en-US" w:eastAsia="zh-CN"/>
          <w14:textFill>
            <w14:solidFill>
              <w14:schemeClr w14:val="tx1"/>
            </w14:solidFill>
          </w14:textFill>
        </w:rPr>
        <w:t>111.4</w:t>
      </w:r>
      <w:r>
        <w:rPr>
          <w:rFonts w:hint="eastAsia" w:ascii="仿宋" w:hAnsi="仿宋" w:eastAsia="仿宋" w:cs="仿宋"/>
          <w:color w:val="000000" w:themeColor="text1"/>
          <w:sz w:val="24"/>
          <w:szCs w:val="24"/>
          <w:lang w:eastAsia="zh-CN"/>
          <w14:textFill>
            <w14:solidFill>
              <w14:schemeClr w14:val="tx1"/>
            </w14:solidFill>
          </w14:textFill>
        </w:rPr>
        <w:t>亿元，</w:t>
      </w:r>
      <w:r>
        <w:rPr>
          <w:rFonts w:hint="eastAsia" w:ascii="仿宋" w:hAnsi="仿宋" w:eastAsia="仿宋" w:cs="仿宋"/>
          <w:color w:val="000000" w:themeColor="text1"/>
          <w:sz w:val="24"/>
          <w:szCs w:val="24"/>
          <w:lang w:val="en-US" w:eastAsia="zh-CN"/>
          <w14:textFill>
            <w14:solidFill>
              <w14:schemeClr w14:val="tx1"/>
            </w14:solidFill>
          </w14:textFill>
        </w:rPr>
        <w:t>增长6.3</w:t>
      </w:r>
      <w:r>
        <w:rPr>
          <w:rFonts w:hint="eastAsia" w:ascii="仿宋" w:hAnsi="仿宋" w:eastAsia="仿宋" w:cs="仿宋"/>
          <w:color w:val="000000" w:themeColor="text1"/>
          <w:sz w:val="24"/>
          <w:szCs w:val="24"/>
          <w:lang w:eastAsia="zh-CN"/>
          <w14:textFill>
            <w14:solidFill>
              <w14:schemeClr w14:val="tx1"/>
            </w14:solidFill>
          </w14:textFill>
        </w:rPr>
        <w:t>%；第三产业增加值</w:t>
      </w:r>
      <w:r>
        <w:rPr>
          <w:rFonts w:hint="eastAsia" w:ascii="仿宋" w:hAnsi="仿宋" w:eastAsia="仿宋" w:cs="仿宋"/>
          <w:color w:val="000000" w:themeColor="text1"/>
          <w:sz w:val="24"/>
          <w:szCs w:val="24"/>
          <w:lang w:val="en-US" w:eastAsia="zh-CN"/>
          <w14:textFill>
            <w14:solidFill>
              <w14:schemeClr w14:val="tx1"/>
            </w14:solidFill>
          </w14:textFill>
        </w:rPr>
        <w:t>37.3</w:t>
      </w:r>
      <w:r>
        <w:rPr>
          <w:rFonts w:hint="eastAsia" w:ascii="仿宋" w:hAnsi="仿宋" w:eastAsia="仿宋" w:cs="仿宋"/>
          <w:color w:val="000000" w:themeColor="text1"/>
          <w:sz w:val="24"/>
          <w:szCs w:val="24"/>
          <w:lang w:eastAsia="zh-CN"/>
          <w14:textFill>
            <w14:solidFill>
              <w14:schemeClr w14:val="tx1"/>
            </w14:solidFill>
          </w14:textFill>
        </w:rPr>
        <w:t>亿元，</w:t>
      </w:r>
      <w:r>
        <w:rPr>
          <w:rFonts w:hint="eastAsia" w:ascii="仿宋" w:hAnsi="仿宋" w:eastAsia="仿宋" w:cs="仿宋"/>
          <w:color w:val="000000" w:themeColor="text1"/>
          <w:sz w:val="24"/>
          <w:szCs w:val="24"/>
          <w:lang w:val="en-US" w:eastAsia="zh-CN"/>
          <w14:textFill>
            <w14:solidFill>
              <w14:schemeClr w14:val="tx1"/>
            </w14:solidFill>
          </w14:textFill>
        </w:rPr>
        <w:t>增长6.6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三次产业结构为</w:t>
      </w:r>
      <w:r>
        <w:rPr>
          <w:rFonts w:hint="eastAsia" w:ascii="仿宋" w:hAnsi="仿宋" w:eastAsia="仿宋" w:cs="仿宋"/>
          <w:color w:val="000000" w:themeColor="text1"/>
          <w:sz w:val="24"/>
          <w:szCs w:val="24"/>
          <w:lang w:val="en-US" w:eastAsia="zh-CN"/>
          <w14:textFill>
            <w14:solidFill>
              <w14:schemeClr w14:val="tx1"/>
            </w14:solidFill>
          </w14:textFill>
        </w:rPr>
        <w:t>0.4</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74.6</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25.0</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按常住人口计算，全年</w:t>
      </w:r>
      <w:r>
        <w:rPr>
          <w:rFonts w:hint="eastAsia" w:ascii="仿宋" w:hAnsi="仿宋" w:eastAsia="仿宋" w:cs="仿宋"/>
          <w:color w:val="000000" w:themeColor="text1"/>
          <w:sz w:val="24"/>
          <w:szCs w:val="24"/>
          <w14:textFill>
            <w14:solidFill>
              <w14:schemeClr w14:val="tx1"/>
            </w14:solidFill>
          </w14:textFill>
        </w:rPr>
        <w:t>人均地区生产总值</w:t>
      </w:r>
      <w:r>
        <w:rPr>
          <w:rFonts w:hint="eastAsia" w:ascii="仿宋" w:hAnsi="仿宋" w:eastAsia="仿宋" w:cs="仿宋"/>
          <w:color w:val="000000" w:themeColor="text1"/>
          <w:sz w:val="24"/>
          <w:szCs w:val="24"/>
          <w:lang w:val="en-US" w:eastAsia="zh-CN"/>
          <w14:textFill>
            <w14:solidFill>
              <w14:schemeClr w14:val="tx1"/>
            </w14:solidFill>
          </w14:textFill>
        </w:rPr>
        <w:t>139034</w:t>
      </w:r>
      <w:r>
        <w:rPr>
          <w:rFonts w:hint="eastAsia" w:ascii="仿宋" w:hAnsi="仿宋" w:eastAsia="仿宋" w:cs="仿宋"/>
          <w:color w:val="000000" w:themeColor="text1"/>
          <w:sz w:val="24"/>
          <w:szCs w:val="24"/>
          <w14:textFill>
            <w14:solidFill>
              <w14:schemeClr w14:val="tx1"/>
            </w14:solidFill>
          </w14:textFill>
        </w:rPr>
        <w:t>元</w:t>
      </w:r>
      <w:r>
        <w:rPr>
          <w:rFonts w:hint="eastAsia" w:ascii="仿宋" w:hAnsi="仿宋" w:eastAsia="仿宋" w:cs="仿宋"/>
          <w:color w:val="000000" w:themeColor="text1"/>
          <w:sz w:val="24"/>
          <w:szCs w:val="24"/>
          <w:lang w:eastAsia="zh-CN"/>
          <w14:textFill>
            <w14:solidFill>
              <w14:schemeClr w14:val="tx1"/>
            </w14:solidFill>
          </w14:textFill>
        </w:rPr>
        <w:t>，比上年增长</w:t>
      </w:r>
      <w:r>
        <w:rPr>
          <w:rFonts w:hint="eastAsia" w:ascii="仿宋" w:hAnsi="仿宋" w:eastAsia="仿宋" w:cs="仿宋"/>
          <w:color w:val="000000" w:themeColor="text1"/>
          <w:sz w:val="24"/>
          <w:szCs w:val="24"/>
          <w:lang w:val="en-US" w:eastAsia="zh-CN"/>
          <w14:textFill>
            <w14:solidFill>
              <w14:schemeClr w14:val="tx1"/>
            </w14:solidFill>
          </w14:textFill>
        </w:rPr>
        <w:t>5.4%</w:t>
      </w:r>
      <w:r>
        <w:rPr>
          <w:rFonts w:hint="eastAsia" w:ascii="仿宋" w:hAnsi="仿宋" w:eastAsia="仿宋" w:cs="仿宋"/>
          <w:color w:val="000000" w:themeColor="text1"/>
          <w:sz w:val="24"/>
          <w:szCs w:val="24"/>
          <w14:textFill>
            <w14:solidFill>
              <w14:schemeClr w14:val="tx1"/>
            </w14:solidFill>
          </w14:textFill>
        </w:rPr>
        <w:t>。部分数据因四舍五入的原因，存在总计与分项合计不等的情况。</w:t>
      </w:r>
    </w:p>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2.地区生产总值、各产业增加值绝对数按现价计算，增长速度按</w:t>
      </w:r>
      <w:r>
        <w:rPr>
          <w:rFonts w:hint="eastAsia" w:ascii="仿宋" w:hAnsi="仿宋" w:eastAsia="仿宋" w:cs="仿宋"/>
          <w:color w:val="000000" w:themeColor="text1"/>
          <w:sz w:val="24"/>
          <w:szCs w:val="24"/>
          <w:lang w:eastAsia="zh-CN"/>
          <w14:textFill>
            <w14:solidFill>
              <w14:schemeClr w14:val="tx1"/>
            </w14:solidFill>
          </w14:textFill>
        </w:rPr>
        <w:t>不变</w:t>
      </w:r>
      <w:r>
        <w:rPr>
          <w:rFonts w:hint="eastAsia" w:ascii="仿宋" w:hAnsi="仿宋" w:eastAsia="仿宋" w:cs="仿宋"/>
          <w:color w:val="000000" w:themeColor="text1"/>
          <w:sz w:val="24"/>
          <w:szCs w:val="24"/>
          <w14:textFill>
            <w14:solidFill>
              <w14:schemeClr w14:val="tx1"/>
            </w14:solidFill>
          </w14:textFill>
        </w:rPr>
        <w:t>价格计算。</w:t>
      </w:r>
    </w:p>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三次产业分类依据国家统计局2018年修订的《三次产业划分规定》，第一产业是指农、林、牧、渔业（不含农、林、牧、渔专业及辅助性活动）；第二产业是指采矿业（不含开采专业及辅助性活动），制造业（不含金属制品、机械和设备修理业），电力、热力、燃气及水生产和供应业，建筑业；第三产业即服务业，是指除第一产业、第二产业以外的其他行业（剔除国际组织）。</w:t>
      </w:r>
    </w:p>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.工业战略性新兴产业根据国家统计局制定的《战略性新兴产业分类（2018）》确定。高技术制造业根据国家统计局制定的《高技术产业（制造业）分类（2017）》确定。</w:t>
      </w:r>
    </w:p>
    <w:p>
      <w:pPr>
        <w:pStyle w:val="7"/>
        <w:keepNext w:val="0"/>
        <w:keepLines w:val="0"/>
        <w:widowControl/>
        <w:suppressLineNumbers w:val="0"/>
        <w:wordWrap/>
        <w:spacing w:before="0" w:beforeAutospacing="0" w:after="0" w:afterAutospacing="0" w:line="540" w:lineRule="atLeast"/>
        <w:ind w:left="0" w:right="0" w:firstLine="480" w:firstLineChars="200"/>
        <w:rPr>
          <w:rFonts w:hint="default" w:ascii="仿宋" w:hAnsi="仿宋" w:eastAsia="仿宋" w:cs="仿宋"/>
          <w:color w:val="C00000"/>
          <w:sz w:val="24"/>
          <w:szCs w:val="24"/>
          <w:lang w:val="en-US" w:eastAsia="zh-CN"/>
        </w:rPr>
      </w:pPr>
      <w:r>
        <w:rPr>
          <w:rFonts w:hint="eastAsia" w:ascii="仿宋" w:hAnsi="仿宋" w:eastAsia="仿宋" w:cs="仿宋"/>
          <w:color w:val="auto"/>
          <w:kern w:val="0"/>
          <w:sz w:val="24"/>
          <w:szCs w:val="24"/>
          <w:lang w:val="en-US" w:eastAsia="zh-CN" w:bidi="ar-SA"/>
        </w:rPr>
        <w:t>5、资料来源本公报中城乡最低生活保障标准、救助城乡低保障人员、发放城乡最低生活保障金额、救助城乡特困人员、发放特困救助供养金额、临时救助困难群众人员，发放救助金额、接受社会各界捐款捐物金额、办理结婚登记和离婚登记情况等数据来自区民政局；一般公共预算收入金额，一般公共预算支出金额等数据来自区财政局；金融机构各项人民币存贷款余额、上市公司、新三板挂牌公司、保险保费收入和赔款支出等数据来自区金融工作局；营造林面积、参加义务植树人次、义务植树株数、自然保护区和森林公园、农作物受灾和经济损失等数据来自区农业农村局；艺术表演团体、文化设施、文物保护单位、非物质文化遗产项目、群众文体活动场次、体育健身活动次数、体育健身工程覆盖实施情况等数据来自区文化广电和旅游局；各类学校招生、在校、毕业人数、资助学生人数和金额等数据来自区教育局；高新技术企业、国家科技型中小企业、省节能减排科技创新示范企业、院士工作站数量、工程技术研究中心数量、省科学技术奖1项、技术合同登记额、省级以上各类财政科技支持经费等数据来自区科技和工业信息化局；城乡居民基本养老保险人数、参加失业保险人数和领取保险金人数、参加工伤保险人数等数据来自区人力资源和社会保障局；货物贸易进出口、外商投资等数据来自区商务局；参加基本医疗保险人数等数据来自区医疗保障局；公路通车里程、村村通油路或水泥路里程等数据来自区交通运输局；卫生机构、床位数、执业医师和执业护士人数来自区卫健委；空气质量数据来自中站生态环境分局；发生各类生产安全事故及死亡人数来自区应急管理局；其他数据来自区统计局。</w:t>
      </w:r>
    </w:p>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部分数据合计数或相对数由于单位取舍不同而产生的计算误差均未作机械调整。</w:t>
      </w:r>
    </w:p>
    <w:p>
      <w:pPr>
        <w:rPr>
          <w:rFonts w:ascii="仿宋" w:hAnsi="仿宋" w:eastAsia="仿宋" w:cs="仿宋"/>
          <w:color w:val="C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e0rEJswEAAFIDAAAOAAAAAAAAAAEAIAAAADQ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1CDA4"/>
    <w:multiLevelType w:val="singleLevel"/>
    <w:tmpl w:val="DB01CDA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OWIyODZkZDY4MWMxNTI3MDU2MTUxM2I2NzQ4OTkifQ=="/>
  </w:docVars>
  <w:rsids>
    <w:rsidRoot w:val="75D32B1E"/>
    <w:rsid w:val="00041EA3"/>
    <w:rsid w:val="000428E6"/>
    <w:rsid w:val="00082B3C"/>
    <w:rsid w:val="000859DA"/>
    <w:rsid w:val="000969AD"/>
    <w:rsid w:val="001A1DAE"/>
    <w:rsid w:val="001F7F7E"/>
    <w:rsid w:val="00201C1E"/>
    <w:rsid w:val="0024464A"/>
    <w:rsid w:val="00272F20"/>
    <w:rsid w:val="002E6413"/>
    <w:rsid w:val="003549D6"/>
    <w:rsid w:val="00385B80"/>
    <w:rsid w:val="003C43BB"/>
    <w:rsid w:val="00430C0A"/>
    <w:rsid w:val="0048298A"/>
    <w:rsid w:val="004C35CC"/>
    <w:rsid w:val="005213A2"/>
    <w:rsid w:val="005730FC"/>
    <w:rsid w:val="005F6255"/>
    <w:rsid w:val="006115C0"/>
    <w:rsid w:val="006123B1"/>
    <w:rsid w:val="006814B1"/>
    <w:rsid w:val="006D6F3B"/>
    <w:rsid w:val="00744BB3"/>
    <w:rsid w:val="007A159C"/>
    <w:rsid w:val="007A43C3"/>
    <w:rsid w:val="00831310"/>
    <w:rsid w:val="00902C2A"/>
    <w:rsid w:val="00933498"/>
    <w:rsid w:val="00995516"/>
    <w:rsid w:val="00A4512C"/>
    <w:rsid w:val="00B1089E"/>
    <w:rsid w:val="00B767A9"/>
    <w:rsid w:val="00C91165"/>
    <w:rsid w:val="00D01EFC"/>
    <w:rsid w:val="00D20B4D"/>
    <w:rsid w:val="00E53D07"/>
    <w:rsid w:val="00E56C41"/>
    <w:rsid w:val="00E7694E"/>
    <w:rsid w:val="00EA2817"/>
    <w:rsid w:val="00FB72F2"/>
    <w:rsid w:val="00FC3E1B"/>
    <w:rsid w:val="01017684"/>
    <w:rsid w:val="01347A59"/>
    <w:rsid w:val="01453A14"/>
    <w:rsid w:val="01527EDF"/>
    <w:rsid w:val="01634AAB"/>
    <w:rsid w:val="01A65484"/>
    <w:rsid w:val="01B6046E"/>
    <w:rsid w:val="01B74978"/>
    <w:rsid w:val="01BF5575"/>
    <w:rsid w:val="01C70348"/>
    <w:rsid w:val="01CA0D85"/>
    <w:rsid w:val="01E4091A"/>
    <w:rsid w:val="020B4C98"/>
    <w:rsid w:val="02225B04"/>
    <w:rsid w:val="02247086"/>
    <w:rsid w:val="02510197"/>
    <w:rsid w:val="02555ED9"/>
    <w:rsid w:val="026C1FFB"/>
    <w:rsid w:val="02A76009"/>
    <w:rsid w:val="02B726F0"/>
    <w:rsid w:val="02EB05EB"/>
    <w:rsid w:val="031F12CE"/>
    <w:rsid w:val="035717DD"/>
    <w:rsid w:val="036D1000"/>
    <w:rsid w:val="03773C2D"/>
    <w:rsid w:val="037802C6"/>
    <w:rsid w:val="03A36084"/>
    <w:rsid w:val="03BB45AA"/>
    <w:rsid w:val="03BF6142"/>
    <w:rsid w:val="03CF0ABD"/>
    <w:rsid w:val="03D177E1"/>
    <w:rsid w:val="03DC540D"/>
    <w:rsid w:val="0442423B"/>
    <w:rsid w:val="045126D0"/>
    <w:rsid w:val="04601D53"/>
    <w:rsid w:val="04644730"/>
    <w:rsid w:val="048D195A"/>
    <w:rsid w:val="04936845"/>
    <w:rsid w:val="04C679B5"/>
    <w:rsid w:val="04D07A99"/>
    <w:rsid w:val="04EC7060"/>
    <w:rsid w:val="04ED064B"/>
    <w:rsid w:val="04FC6AE0"/>
    <w:rsid w:val="05145BD8"/>
    <w:rsid w:val="05153056"/>
    <w:rsid w:val="051C2CDE"/>
    <w:rsid w:val="052A52EE"/>
    <w:rsid w:val="0539362A"/>
    <w:rsid w:val="05773A30"/>
    <w:rsid w:val="05D53406"/>
    <w:rsid w:val="05E82BC0"/>
    <w:rsid w:val="05F81055"/>
    <w:rsid w:val="0638308C"/>
    <w:rsid w:val="06420522"/>
    <w:rsid w:val="06514C09"/>
    <w:rsid w:val="066A57CB"/>
    <w:rsid w:val="06A44D39"/>
    <w:rsid w:val="06BA27AF"/>
    <w:rsid w:val="06C8767B"/>
    <w:rsid w:val="06DB44D3"/>
    <w:rsid w:val="06EB47E3"/>
    <w:rsid w:val="06ED1A3A"/>
    <w:rsid w:val="06F537E7"/>
    <w:rsid w:val="06FA27D5"/>
    <w:rsid w:val="070B051F"/>
    <w:rsid w:val="072145DC"/>
    <w:rsid w:val="073E53BF"/>
    <w:rsid w:val="07462294"/>
    <w:rsid w:val="075F2594"/>
    <w:rsid w:val="07691ADF"/>
    <w:rsid w:val="077C1812"/>
    <w:rsid w:val="07833724"/>
    <w:rsid w:val="079175D5"/>
    <w:rsid w:val="079F3753"/>
    <w:rsid w:val="07B436A2"/>
    <w:rsid w:val="07B976C5"/>
    <w:rsid w:val="080F15E4"/>
    <w:rsid w:val="08234384"/>
    <w:rsid w:val="0837011C"/>
    <w:rsid w:val="083D5445"/>
    <w:rsid w:val="084F33CB"/>
    <w:rsid w:val="08612A73"/>
    <w:rsid w:val="08714021"/>
    <w:rsid w:val="08B5322E"/>
    <w:rsid w:val="08C94F2B"/>
    <w:rsid w:val="08CE42EF"/>
    <w:rsid w:val="08F301FA"/>
    <w:rsid w:val="093305F6"/>
    <w:rsid w:val="0946032A"/>
    <w:rsid w:val="096B378F"/>
    <w:rsid w:val="097053A7"/>
    <w:rsid w:val="09B87FCE"/>
    <w:rsid w:val="09D43B87"/>
    <w:rsid w:val="09DB4F16"/>
    <w:rsid w:val="09E76BEE"/>
    <w:rsid w:val="0A356BC7"/>
    <w:rsid w:val="0A36019B"/>
    <w:rsid w:val="0A4505E1"/>
    <w:rsid w:val="0A5627EE"/>
    <w:rsid w:val="0A5D3B7D"/>
    <w:rsid w:val="0A670558"/>
    <w:rsid w:val="0A80786B"/>
    <w:rsid w:val="0A984BB5"/>
    <w:rsid w:val="0AC31DC9"/>
    <w:rsid w:val="0ADD2F10"/>
    <w:rsid w:val="0AE61DC4"/>
    <w:rsid w:val="0AEC7FD0"/>
    <w:rsid w:val="0AFE12F5"/>
    <w:rsid w:val="0B297647"/>
    <w:rsid w:val="0B3F3C64"/>
    <w:rsid w:val="0B5C3E34"/>
    <w:rsid w:val="0B6131F9"/>
    <w:rsid w:val="0B6D6042"/>
    <w:rsid w:val="0B9244AD"/>
    <w:rsid w:val="0BA65D7A"/>
    <w:rsid w:val="0BC0456A"/>
    <w:rsid w:val="0BC814CA"/>
    <w:rsid w:val="0BDB2B67"/>
    <w:rsid w:val="0C0369A6"/>
    <w:rsid w:val="0C061FF2"/>
    <w:rsid w:val="0C2C3B88"/>
    <w:rsid w:val="0C380D85"/>
    <w:rsid w:val="0C452B1A"/>
    <w:rsid w:val="0C5E1E2E"/>
    <w:rsid w:val="0C871385"/>
    <w:rsid w:val="0C9475FE"/>
    <w:rsid w:val="0CC954FA"/>
    <w:rsid w:val="0CCE0D62"/>
    <w:rsid w:val="0CD81FE0"/>
    <w:rsid w:val="0CF54541"/>
    <w:rsid w:val="0D002EE5"/>
    <w:rsid w:val="0D054058"/>
    <w:rsid w:val="0D140704"/>
    <w:rsid w:val="0D197B03"/>
    <w:rsid w:val="0D1B236A"/>
    <w:rsid w:val="0D417786"/>
    <w:rsid w:val="0D4C612B"/>
    <w:rsid w:val="0D542E96"/>
    <w:rsid w:val="0D5A276F"/>
    <w:rsid w:val="0D821B4C"/>
    <w:rsid w:val="0D9D24E2"/>
    <w:rsid w:val="0DA73B82"/>
    <w:rsid w:val="0DAC1C3E"/>
    <w:rsid w:val="0DB00467"/>
    <w:rsid w:val="0DFA7935"/>
    <w:rsid w:val="0E013747"/>
    <w:rsid w:val="0E16593F"/>
    <w:rsid w:val="0E1B7FD7"/>
    <w:rsid w:val="0E5708C4"/>
    <w:rsid w:val="0E5928AD"/>
    <w:rsid w:val="0E5A03D3"/>
    <w:rsid w:val="0E8C446E"/>
    <w:rsid w:val="0E9909B8"/>
    <w:rsid w:val="0ECF491D"/>
    <w:rsid w:val="0F0A1DF9"/>
    <w:rsid w:val="0F346E76"/>
    <w:rsid w:val="0F362BEE"/>
    <w:rsid w:val="0F3B0205"/>
    <w:rsid w:val="0F4A3E67"/>
    <w:rsid w:val="0F515C7A"/>
    <w:rsid w:val="0F747687"/>
    <w:rsid w:val="0F781459"/>
    <w:rsid w:val="0FA2064B"/>
    <w:rsid w:val="0FA32AAF"/>
    <w:rsid w:val="0FA61B22"/>
    <w:rsid w:val="0FFD4225"/>
    <w:rsid w:val="0FFF56D6"/>
    <w:rsid w:val="10086339"/>
    <w:rsid w:val="100E3C08"/>
    <w:rsid w:val="10134CDE"/>
    <w:rsid w:val="10191164"/>
    <w:rsid w:val="102173FB"/>
    <w:rsid w:val="102B0279"/>
    <w:rsid w:val="103C51F6"/>
    <w:rsid w:val="104E0165"/>
    <w:rsid w:val="107C0AD5"/>
    <w:rsid w:val="10863702"/>
    <w:rsid w:val="108F0808"/>
    <w:rsid w:val="108F6A5A"/>
    <w:rsid w:val="10925A7C"/>
    <w:rsid w:val="109852EC"/>
    <w:rsid w:val="10C27336"/>
    <w:rsid w:val="10C61D50"/>
    <w:rsid w:val="10D64689"/>
    <w:rsid w:val="10D6635B"/>
    <w:rsid w:val="11234432"/>
    <w:rsid w:val="11351FC9"/>
    <w:rsid w:val="116E041E"/>
    <w:rsid w:val="118916FB"/>
    <w:rsid w:val="119D229A"/>
    <w:rsid w:val="11C5740C"/>
    <w:rsid w:val="11C97D4A"/>
    <w:rsid w:val="11EE6BF4"/>
    <w:rsid w:val="121D69D6"/>
    <w:rsid w:val="122B4943"/>
    <w:rsid w:val="124444F2"/>
    <w:rsid w:val="124F0883"/>
    <w:rsid w:val="12521AED"/>
    <w:rsid w:val="12A32349"/>
    <w:rsid w:val="12FE7EC7"/>
    <w:rsid w:val="1303728B"/>
    <w:rsid w:val="13190E51"/>
    <w:rsid w:val="13225964"/>
    <w:rsid w:val="135D5BA6"/>
    <w:rsid w:val="136057B9"/>
    <w:rsid w:val="13655850"/>
    <w:rsid w:val="13741F37"/>
    <w:rsid w:val="13750189"/>
    <w:rsid w:val="13783CEF"/>
    <w:rsid w:val="13EB3FA7"/>
    <w:rsid w:val="13EE5846"/>
    <w:rsid w:val="140B4AED"/>
    <w:rsid w:val="14180502"/>
    <w:rsid w:val="141F1528"/>
    <w:rsid w:val="14396398"/>
    <w:rsid w:val="14847F58"/>
    <w:rsid w:val="148A3535"/>
    <w:rsid w:val="14A376BB"/>
    <w:rsid w:val="14A437A0"/>
    <w:rsid w:val="14A800EA"/>
    <w:rsid w:val="14A91E64"/>
    <w:rsid w:val="14AE2DAD"/>
    <w:rsid w:val="14B06F9F"/>
    <w:rsid w:val="14D7452C"/>
    <w:rsid w:val="14DB226E"/>
    <w:rsid w:val="14E1184E"/>
    <w:rsid w:val="151920E1"/>
    <w:rsid w:val="155E2E9F"/>
    <w:rsid w:val="15681628"/>
    <w:rsid w:val="15710277"/>
    <w:rsid w:val="157B57FF"/>
    <w:rsid w:val="15995E7A"/>
    <w:rsid w:val="15A71EC1"/>
    <w:rsid w:val="15B4486D"/>
    <w:rsid w:val="15BE6DAB"/>
    <w:rsid w:val="15C2342E"/>
    <w:rsid w:val="15FF3D3A"/>
    <w:rsid w:val="160A42F0"/>
    <w:rsid w:val="16457A62"/>
    <w:rsid w:val="16473A81"/>
    <w:rsid w:val="166A6559"/>
    <w:rsid w:val="16826719"/>
    <w:rsid w:val="168B3A44"/>
    <w:rsid w:val="169A1213"/>
    <w:rsid w:val="169C3C7F"/>
    <w:rsid w:val="16A3500D"/>
    <w:rsid w:val="16CA1510"/>
    <w:rsid w:val="16CC5ACB"/>
    <w:rsid w:val="16CF0EC8"/>
    <w:rsid w:val="16D46E2A"/>
    <w:rsid w:val="16D630A4"/>
    <w:rsid w:val="16DB0BA3"/>
    <w:rsid w:val="16DC051F"/>
    <w:rsid w:val="16EC657B"/>
    <w:rsid w:val="1723076A"/>
    <w:rsid w:val="173739A8"/>
    <w:rsid w:val="176A7232"/>
    <w:rsid w:val="178A3AD7"/>
    <w:rsid w:val="17AF79E2"/>
    <w:rsid w:val="17B945C0"/>
    <w:rsid w:val="17CF3BE0"/>
    <w:rsid w:val="17F04282"/>
    <w:rsid w:val="18041ADC"/>
    <w:rsid w:val="183C604C"/>
    <w:rsid w:val="18550589"/>
    <w:rsid w:val="185F4F64"/>
    <w:rsid w:val="18910E95"/>
    <w:rsid w:val="18A312F5"/>
    <w:rsid w:val="18A4506D"/>
    <w:rsid w:val="18CF3CB8"/>
    <w:rsid w:val="18DB7FA7"/>
    <w:rsid w:val="1903609F"/>
    <w:rsid w:val="190D2F64"/>
    <w:rsid w:val="190D7898"/>
    <w:rsid w:val="19227658"/>
    <w:rsid w:val="19235F91"/>
    <w:rsid w:val="19365251"/>
    <w:rsid w:val="193F7204"/>
    <w:rsid w:val="195C14A3"/>
    <w:rsid w:val="19665E27"/>
    <w:rsid w:val="197176DE"/>
    <w:rsid w:val="19A54D92"/>
    <w:rsid w:val="19BB5403"/>
    <w:rsid w:val="19BE3F0C"/>
    <w:rsid w:val="19C77265"/>
    <w:rsid w:val="19D92AF4"/>
    <w:rsid w:val="19F05074"/>
    <w:rsid w:val="19F31730"/>
    <w:rsid w:val="1A0C3F20"/>
    <w:rsid w:val="1A11228E"/>
    <w:rsid w:val="1A15545B"/>
    <w:rsid w:val="1A1661CA"/>
    <w:rsid w:val="1A271AB1"/>
    <w:rsid w:val="1A4268EB"/>
    <w:rsid w:val="1A676352"/>
    <w:rsid w:val="1A6B4094"/>
    <w:rsid w:val="1A7E0C69"/>
    <w:rsid w:val="1A9E4AB4"/>
    <w:rsid w:val="1AC333F8"/>
    <w:rsid w:val="1AD41E4A"/>
    <w:rsid w:val="1AF000F5"/>
    <w:rsid w:val="1AF57E02"/>
    <w:rsid w:val="1AF75928"/>
    <w:rsid w:val="1B1C713C"/>
    <w:rsid w:val="1B1D597D"/>
    <w:rsid w:val="1B214920"/>
    <w:rsid w:val="1B281F85"/>
    <w:rsid w:val="1B2D759B"/>
    <w:rsid w:val="1B4169AB"/>
    <w:rsid w:val="1B5C5FCB"/>
    <w:rsid w:val="1B8D1DE8"/>
    <w:rsid w:val="1B993335"/>
    <w:rsid w:val="1B9F38C9"/>
    <w:rsid w:val="1BB472B8"/>
    <w:rsid w:val="1BCA0B6E"/>
    <w:rsid w:val="1BE340FE"/>
    <w:rsid w:val="1BEC2FB3"/>
    <w:rsid w:val="1BEF2AA3"/>
    <w:rsid w:val="1BF73705"/>
    <w:rsid w:val="1C023003"/>
    <w:rsid w:val="1C025840"/>
    <w:rsid w:val="1C2E646B"/>
    <w:rsid w:val="1C3B1844"/>
    <w:rsid w:val="1C450915"/>
    <w:rsid w:val="1C8256C5"/>
    <w:rsid w:val="1C9660A5"/>
    <w:rsid w:val="1C9F1DD3"/>
    <w:rsid w:val="1CBB5A90"/>
    <w:rsid w:val="1CE974F2"/>
    <w:rsid w:val="1D1C78C7"/>
    <w:rsid w:val="1D326E93"/>
    <w:rsid w:val="1D6B6159"/>
    <w:rsid w:val="1D8334A3"/>
    <w:rsid w:val="1D972DAB"/>
    <w:rsid w:val="1DA17DCD"/>
    <w:rsid w:val="1DAF05B3"/>
    <w:rsid w:val="1DB23D88"/>
    <w:rsid w:val="1DEA1774"/>
    <w:rsid w:val="1E0C793C"/>
    <w:rsid w:val="1E220F0E"/>
    <w:rsid w:val="1E311151"/>
    <w:rsid w:val="1E445058"/>
    <w:rsid w:val="1E553C4C"/>
    <w:rsid w:val="1E5C77AF"/>
    <w:rsid w:val="1E6F77DF"/>
    <w:rsid w:val="1E7B16F8"/>
    <w:rsid w:val="1E96080A"/>
    <w:rsid w:val="1EA7598F"/>
    <w:rsid w:val="1EB57765"/>
    <w:rsid w:val="1ECB5101"/>
    <w:rsid w:val="1F0143D2"/>
    <w:rsid w:val="1F296668"/>
    <w:rsid w:val="1F39249A"/>
    <w:rsid w:val="1F784B5D"/>
    <w:rsid w:val="1F7C464D"/>
    <w:rsid w:val="1FCB1131"/>
    <w:rsid w:val="1FD71884"/>
    <w:rsid w:val="1FDB75C6"/>
    <w:rsid w:val="1FDF25FF"/>
    <w:rsid w:val="1FF730FD"/>
    <w:rsid w:val="20111287"/>
    <w:rsid w:val="201E1F01"/>
    <w:rsid w:val="201F53B1"/>
    <w:rsid w:val="202D5948"/>
    <w:rsid w:val="204825AF"/>
    <w:rsid w:val="20484530"/>
    <w:rsid w:val="205B24B5"/>
    <w:rsid w:val="2072468A"/>
    <w:rsid w:val="20724974"/>
    <w:rsid w:val="207E493E"/>
    <w:rsid w:val="20A0436C"/>
    <w:rsid w:val="20AC2D10"/>
    <w:rsid w:val="20F47953"/>
    <w:rsid w:val="21051CA7"/>
    <w:rsid w:val="21192919"/>
    <w:rsid w:val="212339B6"/>
    <w:rsid w:val="212D5E52"/>
    <w:rsid w:val="21317A7A"/>
    <w:rsid w:val="21354AB4"/>
    <w:rsid w:val="214058BF"/>
    <w:rsid w:val="21410CD7"/>
    <w:rsid w:val="214271D1"/>
    <w:rsid w:val="217A4BBD"/>
    <w:rsid w:val="217E5C39"/>
    <w:rsid w:val="217F21D3"/>
    <w:rsid w:val="21DE0C2D"/>
    <w:rsid w:val="21FE759C"/>
    <w:rsid w:val="2208041A"/>
    <w:rsid w:val="2217240B"/>
    <w:rsid w:val="221E19EC"/>
    <w:rsid w:val="22350AE4"/>
    <w:rsid w:val="2237485C"/>
    <w:rsid w:val="2241051D"/>
    <w:rsid w:val="22547CC7"/>
    <w:rsid w:val="22645955"/>
    <w:rsid w:val="226514F4"/>
    <w:rsid w:val="229D440A"/>
    <w:rsid w:val="22BF3AAD"/>
    <w:rsid w:val="22D87DED"/>
    <w:rsid w:val="22FF31BA"/>
    <w:rsid w:val="230F7587"/>
    <w:rsid w:val="23337719"/>
    <w:rsid w:val="234B76E0"/>
    <w:rsid w:val="234C07DB"/>
    <w:rsid w:val="23502079"/>
    <w:rsid w:val="23694EE9"/>
    <w:rsid w:val="236B120B"/>
    <w:rsid w:val="238D507B"/>
    <w:rsid w:val="23A06262"/>
    <w:rsid w:val="23DD461A"/>
    <w:rsid w:val="242641B0"/>
    <w:rsid w:val="242673A6"/>
    <w:rsid w:val="242F7EE0"/>
    <w:rsid w:val="244A2F6C"/>
    <w:rsid w:val="244A6AC8"/>
    <w:rsid w:val="245A1973"/>
    <w:rsid w:val="246833F2"/>
    <w:rsid w:val="24B228BF"/>
    <w:rsid w:val="24B65F0C"/>
    <w:rsid w:val="24CD14A7"/>
    <w:rsid w:val="24D25C14"/>
    <w:rsid w:val="24D97E4C"/>
    <w:rsid w:val="24E01EA8"/>
    <w:rsid w:val="24EF7670"/>
    <w:rsid w:val="25096670"/>
    <w:rsid w:val="253B7E2A"/>
    <w:rsid w:val="254974E0"/>
    <w:rsid w:val="256718FC"/>
    <w:rsid w:val="257527D8"/>
    <w:rsid w:val="25A77F4A"/>
    <w:rsid w:val="25B032A3"/>
    <w:rsid w:val="25C46078"/>
    <w:rsid w:val="25D115E1"/>
    <w:rsid w:val="25DA0320"/>
    <w:rsid w:val="25E42F4C"/>
    <w:rsid w:val="26094761"/>
    <w:rsid w:val="260B2287"/>
    <w:rsid w:val="260E53C8"/>
    <w:rsid w:val="262B2929"/>
    <w:rsid w:val="26457D7B"/>
    <w:rsid w:val="26527EB6"/>
    <w:rsid w:val="26541E80"/>
    <w:rsid w:val="26606A77"/>
    <w:rsid w:val="26780E08"/>
    <w:rsid w:val="267E186D"/>
    <w:rsid w:val="26BB304D"/>
    <w:rsid w:val="26BC7A25"/>
    <w:rsid w:val="26D66D39"/>
    <w:rsid w:val="26E054C2"/>
    <w:rsid w:val="26E5094A"/>
    <w:rsid w:val="26F412B7"/>
    <w:rsid w:val="270D202F"/>
    <w:rsid w:val="271D04C4"/>
    <w:rsid w:val="2727357C"/>
    <w:rsid w:val="275D1833"/>
    <w:rsid w:val="275D2FB6"/>
    <w:rsid w:val="27651E6B"/>
    <w:rsid w:val="27843EBD"/>
    <w:rsid w:val="278818BE"/>
    <w:rsid w:val="27916CFA"/>
    <w:rsid w:val="27950FB5"/>
    <w:rsid w:val="279664C8"/>
    <w:rsid w:val="279F4C64"/>
    <w:rsid w:val="27A20FE9"/>
    <w:rsid w:val="27A4153B"/>
    <w:rsid w:val="27A54E4E"/>
    <w:rsid w:val="27B64475"/>
    <w:rsid w:val="27C70430"/>
    <w:rsid w:val="27DC212D"/>
    <w:rsid w:val="27EB2370"/>
    <w:rsid w:val="27F751B9"/>
    <w:rsid w:val="28017DE6"/>
    <w:rsid w:val="2810627B"/>
    <w:rsid w:val="28750910"/>
    <w:rsid w:val="287E7613"/>
    <w:rsid w:val="28AB7D51"/>
    <w:rsid w:val="28BA1D43"/>
    <w:rsid w:val="28CA01D8"/>
    <w:rsid w:val="2916166F"/>
    <w:rsid w:val="296879F1"/>
    <w:rsid w:val="298C3AA9"/>
    <w:rsid w:val="29A72C75"/>
    <w:rsid w:val="29C63095"/>
    <w:rsid w:val="29CD4916"/>
    <w:rsid w:val="29E00EFE"/>
    <w:rsid w:val="29F12D2D"/>
    <w:rsid w:val="29F46316"/>
    <w:rsid w:val="29FA6CC9"/>
    <w:rsid w:val="2A060B46"/>
    <w:rsid w:val="2A514B25"/>
    <w:rsid w:val="2AA2056F"/>
    <w:rsid w:val="2AD13CA0"/>
    <w:rsid w:val="2AF1427A"/>
    <w:rsid w:val="2AFC2AE6"/>
    <w:rsid w:val="2AFD1EAA"/>
    <w:rsid w:val="2B1E2A5D"/>
    <w:rsid w:val="2B2142FB"/>
    <w:rsid w:val="2B612949"/>
    <w:rsid w:val="2B7C5330"/>
    <w:rsid w:val="2BAF1907"/>
    <w:rsid w:val="2BB05DAB"/>
    <w:rsid w:val="2BD80E5D"/>
    <w:rsid w:val="2BD96290"/>
    <w:rsid w:val="2BE315B0"/>
    <w:rsid w:val="2BE5357A"/>
    <w:rsid w:val="2BE772F2"/>
    <w:rsid w:val="2BEB0CFB"/>
    <w:rsid w:val="2C484235"/>
    <w:rsid w:val="2C49281B"/>
    <w:rsid w:val="2C695F59"/>
    <w:rsid w:val="2C820DC9"/>
    <w:rsid w:val="2C956D4E"/>
    <w:rsid w:val="2C9B2631"/>
    <w:rsid w:val="2CB2345D"/>
    <w:rsid w:val="2CB43679"/>
    <w:rsid w:val="2CBB7F9F"/>
    <w:rsid w:val="2CC55886"/>
    <w:rsid w:val="2CF41CC7"/>
    <w:rsid w:val="2CF47F19"/>
    <w:rsid w:val="2CF577ED"/>
    <w:rsid w:val="2CFB3D8A"/>
    <w:rsid w:val="2D3A16A4"/>
    <w:rsid w:val="2D6706EB"/>
    <w:rsid w:val="2D6F23DE"/>
    <w:rsid w:val="2D7746A6"/>
    <w:rsid w:val="2D9E60D7"/>
    <w:rsid w:val="2DA0091A"/>
    <w:rsid w:val="2DAF2092"/>
    <w:rsid w:val="2DCC49F2"/>
    <w:rsid w:val="2DFA7533"/>
    <w:rsid w:val="2E083AB4"/>
    <w:rsid w:val="2E0979F4"/>
    <w:rsid w:val="2E187C37"/>
    <w:rsid w:val="2E3D144C"/>
    <w:rsid w:val="2E3E76ED"/>
    <w:rsid w:val="2E432A80"/>
    <w:rsid w:val="2E68261C"/>
    <w:rsid w:val="2E6D51E7"/>
    <w:rsid w:val="2E7E58A8"/>
    <w:rsid w:val="2E8C4181"/>
    <w:rsid w:val="2E950E26"/>
    <w:rsid w:val="2E9A25D8"/>
    <w:rsid w:val="2EB6049D"/>
    <w:rsid w:val="2EBE07DF"/>
    <w:rsid w:val="2EC52F9A"/>
    <w:rsid w:val="2EE82402"/>
    <w:rsid w:val="2EEE67F3"/>
    <w:rsid w:val="2EFE0BDB"/>
    <w:rsid w:val="2F0F2DE8"/>
    <w:rsid w:val="2F1403FE"/>
    <w:rsid w:val="2F427627"/>
    <w:rsid w:val="2FA35866"/>
    <w:rsid w:val="2FBE65BC"/>
    <w:rsid w:val="2FD858D0"/>
    <w:rsid w:val="2FEE6EA1"/>
    <w:rsid w:val="2FF63FA8"/>
    <w:rsid w:val="300422BD"/>
    <w:rsid w:val="301601A6"/>
    <w:rsid w:val="302B2FD8"/>
    <w:rsid w:val="302E5A2A"/>
    <w:rsid w:val="30727EDD"/>
    <w:rsid w:val="30742770"/>
    <w:rsid w:val="309C0A74"/>
    <w:rsid w:val="30A21A3A"/>
    <w:rsid w:val="30AB6B41"/>
    <w:rsid w:val="30AC4667"/>
    <w:rsid w:val="30B654E5"/>
    <w:rsid w:val="30CF71A4"/>
    <w:rsid w:val="30F46739"/>
    <w:rsid w:val="31126BC0"/>
    <w:rsid w:val="31321010"/>
    <w:rsid w:val="313A65C2"/>
    <w:rsid w:val="313F3781"/>
    <w:rsid w:val="314B20D2"/>
    <w:rsid w:val="316F7D26"/>
    <w:rsid w:val="31953880"/>
    <w:rsid w:val="31A812D2"/>
    <w:rsid w:val="31D17310"/>
    <w:rsid w:val="31D9592F"/>
    <w:rsid w:val="31EC5663"/>
    <w:rsid w:val="31ED3E23"/>
    <w:rsid w:val="321101F9"/>
    <w:rsid w:val="32127EA5"/>
    <w:rsid w:val="32326DEE"/>
    <w:rsid w:val="32456B21"/>
    <w:rsid w:val="32597690"/>
    <w:rsid w:val="32676A97"/>
    <w:rsid w:val="32794452"/>
    <w:rsid w:val="327B0795"/>
    <w:rsid w:val="32887FC7"/>
    <w:rsid w:val="32D10501"/>
    <w:rsid w:val="32D70700"/>
    <w:rsid w:val="32D83E39"/>
    <w:rsid w:val="331F3816"/>
    <w:rsid w:val="33201F23"/>
    <w:rsid w:val="333358E4"/>
    <w:rsid w:val="33705E1F"/>
    <w:rsid w:val="33781E43"/>
    <w:rsid w:val="338A5133"/>
    <w:rsid w:val="33B45D0C"/>
    <w:rsid w:val="33E5680D"/>
    <w:rsid w:val="33FE167D"/>
    <w:rsid w:val="34034EE6"/>
    <w:rsid w:val="340C3D9A"/>
    <w:rsid w:val="342C4EC8"/>
    <w:rsid w:val="342C7F98"/>
    <w:rsid w:val="34311A53"/>
    <w:rsid w:val="34374DF8"/>
    <w:rsid w:val="3464452F"/>
    <w:rsid w:val="346F0CAD"/>
    <w:rsid w:val="347C1AB2"/>
    <w:rsid w:val="34CE214D"/>
    <w:rsid w:val="34F211E2"/>
    <w:rsid w:val="34F715C7"/>
    <w:rsid w:val="35004F81"/>
    <w:rsid w:val="355768CE"/>
    <w:rsid w:val="35C607AA"/>
    <w:rsid w:val="35DE41F4"/>
    <w:rsid w:val="35E30B2B"/>
    <w:rsid w:val="35FE3BB6"/>
    <w:rsid w:val="36343134"/>
    <w:rsid w:val="36421A71"/>
    <w:rsid w:val="36483084"/>
    <w:rsid w:val="364E58BC"/>
    <w:rsid w:val="367F38FD"/>
    <w:rsid w:val="36AD2EE7"/>
    <w:rsid w:val="36DD220B"/>
    <w:rsid w:val="36DD37CC"/>
    <w:rsid w:val="36EA5A89"/>
    <w:rsid w:val="36EB5FB2"/>
    <w:rsid w:val="36ED4944"/>
    <w:rsid w:val="3700570C"/>
    <w:rsid w:val="370276D6"/>
    <w:rsid w:val="37076A9B"/>
    <w:rsid w:val="370D4395"/>
    <w:rsid w:val="37410209"/>
    <w:rsid w:val="376379C1"/>
    <w:rsid w:val="3772660A"/>
    <w:rsid w:val="37737C8C"/>
    <w:rsid w:val="37772A4E"/>
    <w:rsid w:val="37806E25"/>
    <w:rsid w:val="37895702"/>
    <w:rsid w:val="379C71E3"/>
    <w:rsid w:val="37A12A4B"/>
    <w:rsid w:val="37AD1DE2"/>
    <w:rsid w:val="37BC7885"/>
    <w:rsid w:val="38064D7C"/>
    <w:rsid w:val="38196A86"/>
    <w:rsid w:val="38451629"/>
    <w:rsid w:val="385B17DF"/>
    <w:rsid w:val="38644B89"/>
    <w:rsid w:val="38795776"/>
    <w:rsid w:val="388A117B"/>
    <w:rsid w:val="388C36FB"/>
    <w:rsid w:val="3893203C"/>
    <w:rsid w:val="38A073B4"/>
    <w:rsid w:val="38AD7F63"/>
    <w:rsid w:val="38B769E8"/>
    <w:rsid w:val="38C86055"/>
    <w:rsid w:val="38DF26A8"/>
    <w:rsid w:val="391515EB"/>
    <w:rsid w:val="3929719C"/>
    <w:rsid w:val="39386DAA"/>
    <w:rsid w:val="394D6D52"/>
    <w:rsid w:val="39697599"/>
    <w:rsid w:val="396C0E37"/>
    <w:rsid w:val="397228F1"/>
    <w:rsid w:val="397F6DBC"/>
    <w:rsid w:val="39900FC9"/>
    <w:rsid w:val="39930ABA"/>
    <w:rsid w:val="39A46823"/>
    <w:rsid w:val="39BE5B37"/>
    <w:rsid w:val="39C944DB"/>
    <w:rsid w:val="39C96289"/>
    <w:rsid w:val="39CC3033"/>
    <w:rsid w:val="39CE1115"/>
    <w:rsid w:val="39FA4695"/>
    <w:rsid w:val="39FF1CAB"/>
    <w:rsid w:val="3A020880"/>
    <w:rsid w:val="3A18053F"/>
    <w:rsid w:val="3A4D6EBA"/>
    <w:rsid w:val="3A661D2A"/>
    <w:rsid w:val="3A6F6E31"/>
    <w:rsid w:val="3A8723CC"/>
    <w:rsid w:val="3A887B03"/>
    <w:rsid w:val="3A8C2EB9"/>
    <w:rsid w:val="3AAD729F"/>
    <w:rsid w:val="3AB54DA3"/>
    <w:rsid w:val="3ADB611B"/>
    <w:rsid w:val="3AE315CD"/>
    <w:rsid w:val="3B0532F1"/>
    <w:rsid w:val="3B2216F2"/>
    <w:rsid w:val="3B2458B0"/>
    <w:rsid w:val="3B2E6F98"/>
    <w:rsid w:val="3B3346AA"/>
    <w:rsid w:val="3B351E28"/>
    <w:rsid w:val="3BBF5B96"/>
    <w:rsid w:val="3BD656B9"/>
    <w:rsid w:val="3BE519B4"/>
    <w:rsid w:val="3C0E61D6"/>
    <w:rsid w:val="3C3F2833"/>
    <w:rsid w:val="3C7050E2"/>
    <w:rsid w:val="3CD72A6B"/>
    <w:rsid w:val="3CF0295C"/>
    <w:rsid w:val="3D163594"/>
    <w:rsid w:val="3D204F2B"/>
    <w:rsid w:val="3D29776B"/>
    <w:rsid w:val="3D2A703F"/>
    <w:rsid w:val="3D32482E"/>
    <w:rsid w:val="3D3D3216"/>
    <w:rsid w:val="3D4E0F7F"/>
    <w:rsid w:val="3D581DFE"/>
    <w:rsid w:val="3D6A38DF"/>
    <w:rsid w:val="3DB86D41"/>
    <w:rsid w:val="3DBA4867"/>
    <w:rsid w:val="3DBB413B"/>
    <w:rsid w:val="3DC95DE0"/>
    <w:rsid w:val="3DE12C05"/>
    <w:rsid w:val="3DE92F1E"/>
    <w:rsid w:val="3DF21B38"/>
    <w:rsid w:val="3DFF671E"/>
    <w:rsid w:val="3E17702D"/>
    <w:rsid w:val="3E1A3557"/>
    <w:rsid w:val="3E360BF9"/>
    <w:rsid w:val="3E4F46AE"/>
    <w:rsid w:val="3E760D57"/>
    <w:rsid w:val="3EA572C5"/>
    <w:rsid w:val="3F2D72BA"/>
    <w:rsid w:val="3F491F68"/>
    <w:rsid w:val="3F536D21"/>
    <w:rsid w:val="3F76656C"/>
    <w:rsid w:val="3F9520B5"/>
    <w:rsid w:val="3F9D7F9C"/>
    <w:rsid w:val="3FA0183A"/>
    <w:rsid w:val="3FA96941"/>
    <w:rsid w:val="3FB7255B"/>
    <w:rsid w:val="3FC45529"/>
    <w:rsid w:val="3FCF2120"/>
    <w:rsid w:val="3FE536F1"/>
    <w:rsid w:val="400718BA"/>
    <w:rsid w:val="40271F5C"/>
    <w:rsid w:val="40295CD4"/>
    <w:rsid w:val="402D5DC0"/>
    <w:rsid w:val="4033454D"/>
    <w:rsid w:val="40953369"/>
    <w:rsid w:val="409E1AEE"/>
    <w:rsid w:val="40BF2194"/>
    <w:rsid w:val="40EA0BB5"/>
    <w:rsid w:val="41086370"/>
    <w:rsid w:val="411B0AD9"/>
    <w:rsid w:val="41272213"/>
    <w:rsid w:val="41474664"/>
    <w:rsid w:val="415D7B9F"/>
    <w:rsid w:val="41742F7F"/>
    <w:rsid w:val="41D659E7"/>
    <w:rsid w:val="42054087"/>
    <w:rsid w:val="421309EA"/>
    <w:rsid w:val="422B7AE1"/>
    <w:rsid w:val="424C018D"/>
    <w:rsid w:val="42B2779B"/>
    <w:rsid w:val="42D737C5"/>
    <w:rsid w:val="42DA32B5"/>
    <w:rsid w:val="42E14644"/>
    <w:rsid w:val="430A17B4"/>
    <w:rsid w:val="430D5439"/>
    <w:rsid w:val="433504EC"/>
    <w:rsid w:val="4346094B"/>
    <w:rsid w:val="43575CAD"/>
    <w:rsid w:val="43610C51"/>
    <w:rsid w:val="436808C1"/>
    <w:rsid w:val="43866F99"/>
    <w:rsid w:val="43893B63"/>
    <w:rsid w:val="43921FC5"/>
    <w:rsid w:val="43A318F9"/>
    <w:rsid w:val="43B835F7"/>
    <w:rsid w:val="43BD6E5F"/>
    <w:rsid w:val="43CA50D8"/>
    <w:rsid w:val="43CC52F4"/>
    <w:rsid w:val="43D40C92"/>
    <w:rsid w:val="43DE3B85"/>
    <w:rsid w:val="43E77A38"/>
    <w:rsid w:val="43FD725B"/>
    <w:rsid w:val="44066B1E"/>
    <w:rsid w:val="440D650B"/>
    <w:rsid w:val="442764C7"/>
    <w:rsid w:val="44437501"/>
    <w:rsid w:val="44461C1B"/>
    <w:rsid w:val="44564BBE"/>
    <w:rsid w:val="445B0426"/>
    <w:rsid w:val="44623A35"/>
    <w:rsid w:val="45283316"/>
    <w:rsid w:val="4528655A"/>
    <w:rsid w:val="452B604A"/>
    <w:rsid w:val="454F3AE7"/>
    <w:rsid w:val="45532502"/>
    <w:rsid w:val="45576E3F"/>
    <w:rsid w:val="455E3D2A"/>
    <w:rsid w:val="45603F46"/>
    <w:rsid w:val="4571562C"/>
    <w:rsid w:val="45763769"/>
    <w:rsid w:val="45921465"/>
    <w:rsid w:val="459C6AFE"/>
    <w:rsid w:val="45CD4679"/>
    <w:rsid w:val="45D67359"/>
    <w:rsid w:val="45DC6186"/>
    <w:rsid w:val="45F26AAE"/>
    <w:rsid w:val="45F60406"/>
    <w:rsid w:val="46560EA5"/>
    <w:rsid w:val="466C691A"/>
    <w:rsid w:val="466C6B3F"/>
    <w:rsid w:val="467B3D94"/>
    <w:rsid w:val="46B34549"/>
    <w:rsid w:val="46BF6A4A"/>
    <w:rsid w:val="46D71FE6"/>
    <w:rsid w:val="46F2539B"/>
    <w:rsid w:val="47482EE3"/>
    <w:rsid w:val="4773693A"/>
    <w:rsid w:val="47835CCA"/>
    <w:rsid w:val="47B16CDB"/>
    <w:rsid w:val="47B97FF9"/>
    <w:rsid w:val="47D97FDF"/>
    <w:rsid w:val="47DA1545"/>
    <w:rsid w:val="47DC4CA1"/>
    <w:rsid w:val="47EB386F"/>
    <w:rsid w:val="4820176A"/>
    <w:rsid w:val="482202D7"/>
    <w:rsid w:val="4823125B"/>
    <w:rsid w:val="48403BBB"/>
    <w:rsid w:val="48847F4B"/>
    <w:rsid w:val="488A510E"/>
    <w:rsid w:val="48AE6D76"/>
    <w:rsid w:val="48ED5C35"/>
    <w:rsid w:val="48EE7ABB"/>
    <w:rsid w:val="48F36E7F"/>
    <w:rsid w:val="48FA020D"/>
    <w:rsid w:val="490C58FB"/>
    <w:rsid w:val="49294ADE"/>
    <w:rsid w:val="49392E7D"/>
    <w:rsid w:val="495D254A"/>
    <w:rsid w:val="4968786D"/>
    <w:rsid w:val="49715BC5"/>
    <w:rsid w:val="498B70B7"/>
    <w:rsid w:val="498E0956"/>
    <w:rsid w:val="499522CC"/>
    <w:rsid w:val="49995E63"/>
    <w:rsid w:val="49A563CB"/>
    <w:rsid w:val="49B91E77"/>
    <w:rsid w:val="49C5081B"/>
    <w:rsid w:val="49CC7DFC"/>
    <w:rsid w:val="49E8450A"/>
    <w:rsid w:val="49F64E79"/>
    <w:rsid w:val="4A1433DA"/>
    <w:rsid w:val="4A203CA4"/>
    <w:rsid w:val="4A45370A"/>
    <w:rsid w:val="4A4A2ACF"/>
    <w:rsid w:val="4A6F2535"/>
    <w:rsid w:val="4A9F72BE"/>
    <w:rsid w:val="4AA2290B"/>
    <w:rsid w:val="4AC705C3"/>
    <w:rsid w:val="4AD131F0"/>
    <w:rsid w:val="4AD66A58"/>
    <w:rsid w:val="4AF52ED4"/>
    <w:rsid w:val="4B1411AE"/>
    <w:rsid w:val="4B315A3D"/>
    <w:rsid w:val="4B3A1389"/>
    <w:rsid w:val="4B3F63AB"/>
    <w:rsid w:val="4B526D79"/>
    <w:rsid w:val="4B55195F"/>
    <w:rsid w:val="4BA206E8"/>
    <w:rsid w:val="4BB24DCF"/>
    <w:rsid w:val="4BC30D8B"/>
    <w:rsid w:val="4BC66ACD"/>
    <w:rsid w:val="4BD016F9"/>
    <w:rsid w:val="4BDF36EB"/>
    <w:rsid w:val="4C052C36"/>
    <w:rsid w:val="4CA7245A"/>
    <w:rsid w:val="4CB9218D"/>
    <w:rsid w:val="4CD174D7"/>
    <w:rsid w:val="4CE511D4"/>
    <w:rsid w:val="4CE5247E"/>
    <w:rsid w:val="4CEE1E37"/>
    <w:rsid w:val="4CFE5DF2"/>
    <w:rsid w:val="4D043409"/>
    <w:rsid w:val="4D123D77"/>
    <w:rsid w:val="4D1B69A4"/>
    <w:rsid w:val="4D3239D4"/>
    <w:rsid w:val="4D4203D5"/>
    <w:rsid w:val="4D471547"/>
    <w:rsid w:val="4D677E3B"/>
    <w:rsid w:val="4D810EFD"/>
    <w:rsid w:val="4DAE3242"/>
    <w:rsid w:val="4DBF1A26"/>
    <w:rsid w:val="4DC25072"/>
    <w:rsid w:val="4DEA1C1D"/>
    <w:rsid w:val="4E317FF7"/>
    <w:rsid w:val="4E55757B"/>
    <w:rsid w:val="4E5B34FC"/>
    <w:rsid w:val="4E7520E4"/>
    <w:rsid w:val="4E9B7D9D"/>
    <w:rsid w:val="4EB55ABE"/>
    <w:rsid w:val="4ED11A10"/>
    <w:rsid w:val="4EFA3B41"/>
    <w:rsid w:val="4F02606E"/>
    <w:rsid w:val="4F0C2A48"/>
    <w:rsid w:val="4F0E2C85"/>
    <w:rsid w:val="4F103D94"/>
    <w:rsid w:val="4F2F6737"/>
    <w:rsid w:val="4F302BDB"/>
    <w:rsid w:val="4F3376A8"/>
    <w:rsid w:val="4F3D5063"/>
    <w:rsid w:val="4F4026F2"/>
    <w:rsid w:val="4F731F21"/>
    <w:rsid w:val="4FA26F09"/>
    <w:rsid w:val="4FBA6948"/>
    <w:rsid w:val="4FE87012"/>
    <w:rsid w:val="4FEB08B0"/>
    <w:rsid w:val="50074618"/>
    <w:rsid w:val="500876B4"/>
    <w:rsid w:val="50285660"/>
    <w:rsid w:val="502B6EFE"/>
    <w:rsid w:val="50566671"/>
    <w:rsid w:val="50593A6B"/>
    <w:rsid w:val="5086682B"/>
    <w:rsid w:val="50964CC0"/>
    <w:rsid w:val="50BC78F1"/>
    <w:rsid w:val="512A5408"/>
    <w:rsid w:val="512A7C48"/>
    <w:rsid w:val="51360251"/>
    <w:rsid w:val="51385D77"/>
    <w:rsid w:val="51672BF3"/>
    <w:rsid w:val="5175220F"/>
    <w:rsid w:val="51A010D6"/>
    <w:rsid w:val="51A72C5B"/>
    <w:rsid w:val="51B11685"/>
    <w:rsid w:val="5201085F"/>
    <w:rsid w:val="521340EE"/>
    <w:rsid w:val="52240FED"/>
    <w:rsid w:val="524F15CA"/>
    <w:rsid w:val="527934C5"/>
    <w:rsid w:val="527F3531"/>
    <w:rsid w:val="52905D6C"/>
    <w:rsid w:val="52A82A88"/>
    <w:rsid w:val="52B94C95"/>
    <w:rsid w:val="52CB49C9"/>
    <w:rsid w:val="52CB6777"/>
    <w:rsid w:val="52EC6E19"/>
    <w:rsid w:val="52F03646"/>
    <w:rsid w:val="52FC2C8D"/>
    <w:rsid w:val="535C34CA"/>
    <w:rsid w:val="536444B8"/>
    <w:rsid w:val="536966BB"/>
    <w:rsid w:val="536A2433"/>
    <w:rsid w:val="53760DD8"/>
    <w:rsid w:val="538A73DF"/>
    <w:rsid w:val="538D3872"/>
    <w:rsid w:val="539B6326"/>
    <w:rsid w:val="53B37937"/>
    <w:rsid w:val="53C1052D"/>
    <w:rsid w:val="53D967E6"/>
    <w:rsid w:val="53DA4EC3"/>
    <w:rsid w:val="53E90DAD"/>
    <w:rsid w:val="53EA0E7E"/>
    <w:rsid w:val="540B51FB"/>
    <w:rsid w:val="542A77B8"/>
    <w:rsid w:val="543D5452"/>
    <w:rsid w:val="546450D5"/>
    <w:rsid w:val="548B2661"/>
    <w:rsid w:val="548F2152"/>
    <w:rsid w:val="549E4143"/>
    <w:rsid w:val="54C31DFB"/>
    <w:rsid w:val="54C87412"/>
    <w:rsid w:val="54EF499E"/>
    <w:rsid w:val="54F33592"/>
    <w:rsid w:val="55093012"/>
    <w:rsid w:val="552A00CC"/>
    <w:rsid w:val="55386FB1"/>
    <w:rsid w:val="55432F3C"/>
    <w:rsid w:val="55546EF7"/>
    <w:rsid w:val="555B0586"/>
    <w:rsid w:val="555C6BD0"/>
    <w:rsid w:val="558A46C7"/>
    <w:rsid w:val="559E76D2"/>
    <w:rsid w:val="55A81A65"/>
    <w:rsid w:val="55BF23EE"/>
    <w:rsid w:val="55CF409A"/>
    <w:rsid w:val="5621502B"/>
    <w:rsid w:val="5632548A"/>
    <w:rsid w:val="56365414"/>
    <w:rsid w:val="56680EAC"/>
    <w:rsid w:val="56703856"/>
    <w:rsid w:val="567315FF"/>
    <w:rsid w:val="56A66920"/>
    <w:rsid w:val="56BF4844"/>
    <w:rsid w:val="56C500AD"/>
    <w:rsid w:val="56D976B4"/>
    <w:rsid w:val="56F00EA2"/>
    <w:rsid w:val="56F8250A"/>
    <w:rsid w:val="57027519"/>
    <w:rsid w:val="57064A98"/>
    <w:rsid w:val="57266671"/>
    <w:rsid w:val="573963A5"/>
    <w:rsid w:val="574D0D59"/>
    <w:rsid w:val="5762118D"/>
    <w:rsid w:val="57743881"/>
    <w:rsid w:val="5789732C"/>
    <w:rsid w:val="57A8352A"/>
    <w:rsid w:val="57BF2D4E"/>
    <w:rsid w:val="57D96C56"/>
    <w:rsid w:val="57EE3633"/>
    <w:rsid w:val="57FF75EE"/>
    <w:rsid w:val="5842572D"/>
    <w:rsid w:val="58711B6E"/>
    <w:rsid w:val="58783637"/>
    <w:rsid w:val="587C0C3F"/>
    <w:rsid w:val="588E4582"/>
    <w:rsid w:val="5898359F"/>
    <w:rsid w:val="589F0489"/>
    <w:rsid w:val="58A601B5"/>
    <w:rsid w:val="590B5737"/>
    <w:rsid w:val="591250FF"/>
    <w:rsid w:val="591A6D21"/>
    <w:rsid w:val="59253085"/>
    <w:rsid w:val="592B4413"/>
    <w:rsid w:val="59434531"/>
    <w:rsid w:val="594554D5"/>
    <w:rsid w:val="59505C28"/>
    <w:rsid w:val="5958639F"/>
    <w:rsid w:val="596C0CB3"/>
    <w:rsid w:val="598041CB"/>
    <w:rsid w:val="598D3023"/>
    <w:rsid w:val="599A79A6"/>
    <w:rsid w:val="59A10231"/>
    <w:rsid w:val="59AC24F7"/>
    <w:rsid w:val="59AD4E28"/>
    <w:rsid w:val="59DA7910"/>
    <w:rsid w:val="59EC38E1"/>
    <w:rsid w:val="59EF219F"/>
    <w:rsid w:val="5A0A227A"/>
    <w:rsid w:val="5A2E41BB"/>
    <w:rsid w:val="5A5C0D28"/>
    <w:rsid w:val="5A693A4F"/>
    <w:rsid w:val="5AF32D0E"/>
    <w:rsid w:val="5B0B5C18"/>
    <w:rsid w:val="5B184523"/>
    <w:rsid w:val="5B1F49A4"/>
    <w:rsid w:val="5B370E4D"/>
    <w:rsid w:val="5B445318"/>
    <w:rsid w:val="5B477393"/>
    <w:rsid w:val="5B5437AD"/>
    <w:rsid w:val="5B63298B"/>
    <w:rsid w:val="5B85605C"/>
    <w:rsid w:val="5B977B3E"/>
    <w:rsid w:val="5B9C6F02"/>
    <w:rsid w:val="5BA31F6D"/>
    <w:rsid w:val="5BD13050"/>
    <w:rsid w:val="5BD655A2"/>
    <w:rsid w:val="5C2A0E90"/>
    <w:rsid w:val="5C2B7692"/>
    <w:rsid w:val="5C390BF5"/>
    <w:rsid w:val="5C3929A3"/>
    <w:rsid w:val="5C401F83"/>
    <w:rsid w:val="5C40476C"/>
    <w:rsid w:val="5C425CFC"/>
    <w:rsid w:val="5C4952DC"/>
    <w:rsid w:val="5CAE5E6B"/>
    <w:rsid w:val="5CBD5382"/>
    <w:rsid w:val="5CD01FBE"/>
    <w:rsid w:val="5CD1707F"/>
    <w:rsid w:val="5CEB0141"/>
    <w:rsid w:val="5CED3EB9"/>
    <w:rsid w:val="5D0E3E30"/>
    <w:rsid w:val="5D221689"/>
    <w:rsid w:val="5D3560D4"/>
    <w:rsid w:val="5D6A375C"/>
    <w:rsid w:val="5D8202BE"/>
    <w:rsid w:val="5D891708"/>
    <w:rsid w:val="5DD07337"/>
    <w:rsid w:val="5DD56FF0"/>
    <w:rsid w:val="5DD92690"/>
    <w:rsid w:val="5DDD17E1"/>
    <w:rsid w:val="5DF11787"/>
    <w:rsid w:val="5DF9063C"/>
    <w:rsid w:val="5DFC726C"/>
    <w:rsid w:val="5E1D5B3E"/>
    <w:rsid w:val="5E225DE5"/>
    <w:rsid w:val="5E2A6A47"/>
    <w:rsid w:val="5E652ADE"/>
    <w:rsid w:val="5E710FBC"/>
    <w:rsid w:val="5E7F176F"/>
    <w:rsid w:val="5E936558"/>
    <w:rsid w:val="5E9D7480"/>
    <w:rsid w:val="5EAE7678"/>
    <w:rsid w:val="5EC96260"/>
    <w:rsid w:val="5EDD1D0C"/>
    <w:rsid w:val="5EE75B17"/>
    <w:rsid w:val="5EEF6B9A"/>
    <w:rsid w:val="5F27742B"/>
    <w:rsid w:val="5F28567D"/>
    <w:rsid w:val="5F4B3119"/>
    <w:rsid w:val="5F5415CE"/>
    <w:rsid w:val="5F64545E"/>
    <w:rsid w:val="5F993D1B"/>
    <w:rsid w:val="5F9D0CBA"/>
    <w:rsid w:val="5FCF78A6"/>
    <w:rsid w:val="5FD27AAD"/>
    <w:rsid w:val="5FD41360"/>
    <w:rsid w:val="5FD72BFF"/>
    <w:rsid w:val="5FEB66AA"/>
    <w:rsid w:val="60036C0D"/>
    <w:rsid w:val="60622ED8"/>
    <w:rsid w:val="60792793"/>
    <w:rsid w:val="60795A64"/>
    <w:rsid w:val="609D5BF6"/>
    <w:rsid w:val="60A01243"/>
    <w:rsid w:val="60AE6449"/>
    <w:rsid w:val="60CF1B28"/>
    <w:rsid w:val="60D1360B"/>
    <w:rsid w:val="60D4713E"/>
    <w:rsid w:val="60DA29A7"/>
    <w:rsid w:val="60E86BFD"/>
    <w:rsid w:val="60EA20B9"/>
    <w:rsid w:val="610923E5"/>
    <w:rsid w:val="61161505"/>
    <w:rsid w:val="611D0E9C"/>
    <w:rsid w:val="612F7FCE"/>
    <w:rsid w:val="61453B98"/>
    <w:rsid w:val="61734BA9"/>
    <w:rsid w:val="618034E5"/>
    <w:rsid w:val="61826B9A"/>
    <w:rsid w:val="618F19E3"/>
    <w:rsid w:val="619568CD"/>
    <w:rsid w:val="61AD66ED"/>
    <w:rsid w:val="61B050E7"/>
    <w:rsid w:val="61BE4076"/>
    <w:rsid w:val="61C80A51"/>
    <w:rsid w:val="61D70C94"/>
    <w:rsid w:val="61E360BE"/>
    <w:rsid w:val="61FB0E26"/>
    <w:rsid w:val="62055A75"/>
    <w:rsid w:val="621912AD"/>
    <w:rsid w:val="621F43E9"/>
    <w:rsid w:val="622F1669"/>
    <w:rsid w:val="623460E6"/>
    <w:rsid w:val="624D53FA"/>
    <w:rsid w:val="625B7B17"/>
    <w:rsid w:val="625D388F"/>
    <w:rsid w:val="62650996"/>
    <w:rsid w:val="62683FE2"/>
    <w:rsid w:val="626B793D"/>
    <w:rsid w:val="62764FAB"/>
    <w:rsid w:val="627666FF"/>
    <w:rsid w:val="629B008E"/>
    <w:rsid w:val="629D0130"/>
    <w:rsid w:val="62B22401"/>
    <w:rsid w:val="62FA736F"/>
    <w:rsid w:val="63003949"/>
    <w:rsid w:val="63027F93"/>
    <w:rsid w:val="631A1780"/>
    <w:rsid w:val="632443AD"/>
    <w:rsid w:val="63350160"/>
    <w:rsid w:val="633B39FC"/>
    <w:rsid w:val="63506F50"/>
    <w:rsid w:val="63575791"/>
    <w:rsid w:val="63696264"/>
    <w:rsid w:val="63750C42"/>
    <w:rsid w:val="63960D2D"/>
    <w:rsid w:val="63A70B3A"/>
    <w:rsid w:val="63B17E96"/>
    <w:rsid w:val="63C416EC"/>
    <w:rsid w:val="63C74D38"/>
    <w:rsid w:val="63E0176B"/>
    <w:rsid w:val="63E453A9"/>
    <w:rsid w:val="63F7386F"/>
    <w:rsid w:val="64033FC2"/>
    <w:rsid w:val="641A2EBD"/>
    <w:rsid w:val="641C6E32"/>
    <w:rsid w:val="64395E7C"/>
    <w:rsid w:val="64412DBA"/>
    <w:rsid w:val="64476F4B"/>
    <w:rsid w:val="64540CC2"/>
    <w:rsid w:val="64616F3B"/>
    <w:rsid w:val="6477675E"/>
    <w:rsid w:val="64852C29"/>
    <w:rsid w:val="64992B79"/>
    <w:rsid w:val="64CE4D88"/>
    <w:rsid w:val="64DE058B"/>
    <w:rsid w:val="64E02CF2"/>
    <w:rsid w:val="65077AE2"/>
    <w:rsid w:val="652A028A"/>
    <w:rsid w:val="6535464F"/>
    <w:rsid w:val="653F6B42"/>
    <w:rsid w:val="65407C11"/>
    <w:rsid w:val="65495368"/>
    <w:rsid w:val="655B3896"/>
    <w:rsid w:val="655E3A77"/>
    <w:rsid w:val="657809E0"/>
    <w:rsid w:val="658B24C1"/>
    <w:rsid w:val="658B4268"/>
    <w:rsid w:val="658C7000"/>
    <w:rsid w:val="65AC068A"/>
    <w:rsid w:val="65E816C2"/>
    <w:rsid w:val="65E9543A"/>
    <w:rsid w:val="66012783"/>
    <w:rsid w:val="66094DB9"/>
    <w:rsid w:val="661078D0"/>
    <w:rsid w:val="661C136B"/>
    <w:rsid w:val="661E3757"/>
    <w:rsid w:val="664D59C9"/>
    <w:rsid w:val="665C474C"/>
    <w:rsid w:val="665F17E4"/>
    <w:rsid w:val="66723681"/>
    <w:rsid w:val="66BE125A"/>
    <w:rsid w:val="66E7147B"/>
    <w:rsid w:val="66EA76BB"/>
    <w:rsid w:val="66F402EA"/>
    <w:rsid w:val="66F9345B"/>
    <w:rsid w:val="67036A86"/>
    <w:rsid w:val="671B5AC7"/>
    <w:rsid w:val="671F6C47"/>
    <w:rsid w:val="672A5D0A"/>
    <w:rsid w:val="67423054"/>
    <w:rsid w:val="67656D42"/>
    <w:rsid w:val="67717495"/>
    <w:rsid w:val="677F7E04"/>
    <w:rsid w:val="6780592A"/>
    <w:rsid w:val="67BA708E"/>
    <w:rsid w:val="67C07E4A"/>
    <w:rsid w:val="67DA7730"/>
    <w:rsid w:val="67FB2A48"/>
    <w:rsid w:val="67FC76A6"/>
    <w:rsid w:val="67FD2B83"/>
    <w:rsid w:val="67FF2F55"/>
    <w:rsid w:val="68203D1B"/>
    <w:rsid w:val="68472B6D"/>
    <w:rsid w:val="685272C6"/>
    <w:rsid w:val="68531CDD"/>
    <w:rsid w:val="68680898"/>
    <w:rsid w:val="68945B31"/>
    <w:rsid w:val="68A67612"/>
    <w:rsid w:val="68E1064A"/>
    <w:rsid w:val="68E37F9C"/>
    <w:rsid w:val="68E51EE8"/>
    <w:rsid w:val="68FA40F3"/>
    <w:rsid w:val="68FE11FC"/>
    <w:rsid w:val="690031C6"/>
    <w:rsid w:val="690C3919"/>
    <w:rsid w:val="69201173"/>
    <w:rsid w:val="69322309"/>
    <w:rsid w:val="694035C3"/>
    <w:rsid w:val="694626F8"/>
    <w:rsid w:val="69594031"/>
    <w:rsid w:val="69696D75"/>
    <w:rsid w:val="699A71FC"/>
    <w:rsid w:val="69A8763A"/>
    <w:rsid w:val="69B67D29"/>
    <w:rsid w:val="69C20DE4"/>
    <w:rsid w:val="69C50ADB"/>
    <w:rsid w:val="69C74CBB"/>
    <w:rsid w:val="6A0D7DED"/>
    <w:rsid w:val="6A462E5B"/>
    <w:rsid w:val="6A7019A4"/>
    <w:rsid w:val="6A786D8C"/>
    <w:rsid w:val="6A8B4D12"/>
    <w:rsid w:val="6ACD70D8"/>
    <w:rsid w:val="6AD119EC"/>
    <w:rsid w:val="6AD9782B"/>
    <w:rsid w:val="6B604762"/>
    <w:rsid w:val="6B6A6C83"/>
    <w:rsid w:val="6B944D8F"/>
    <w:rsid w:val="6BB72D7E"/>
    <w:rsid w:val="6BBD539F"/>
    <w:rsid w:val="6BC9782A"/>
    <w:rsid w:val="6BCE220C"/>
    <w:rsid w:val="6BCF6E80"/>
    <w:rsid w:val="6BD12BF8"/>
    <w:rsid w:val="6BE24E05"/>
    <w:rsid w:val="6BE75F78"/>
    <w:rsid w:val="6BF608B1"/>
    <w:rsid w:val="6C514054"/>
    <w:rsid w:val="6C5D26DE"/>
    <w:rsid w:val="6C5F0204"/>
    <w:rsid w:val="6C755C79"/>
    <w:rsid w:val="6C770BB5"/>
    <w:rsid w:val="6C845EBC"/>
    <w:rsid w:val="6C86741D"/>
    <w:rsid w:val="6C8E6D3B"/>
    <w:rsid w:val="6C9A748E"/>
    <w:rsid w:val="6CA83959"/>
    <w:rsid w:val="6CB70040"/>
    <w:rsid w:val="6CB93DB8"/>
    <w:rsid w:val="6CCB3AEB"/>
    <w:rsid w:val="6CD96208"/>
    <w:rsid w:val="6CFA4F3B"/>
    <w:rsid w:val="6D192AA9"/>
    <w:rsid w:val="6D1D3BF9"/>
    <w:rsid w:val="6D1F744D"/>
    <w:rsid w:val="6D203E37"/>
    <w:rsid w:val="6D25444C"/>
    <w:rsid w:val="6D352F7B"/>
    <w:rsid w:val="6D437B25"/>
    <w:rsid w:val="6D5B09CB"/>
    <w:rsid w:val="6D6D6950"/>
    <w:rsid w:val="6D77157D"/>
    <w:rsid w:val="6D9D14A4"/>
    <w:rsid w:val="6DAD4F9F"/>
    <w:rsid w:val="6DB63E53"/>
    <w:rsid w:val="6DCA5B51"/>
    <w:rsid w:val="6DD15131"/>
    <w:rsid w:val="6E027099"/>
    <w:rsid w:val="6E196913"/>
    <w:rsid w:val="6E2C680B"/>
    <w:rsid w:val="6E3A2CD6"/>
    <w:rsid w:val="6E6E0BD2"/>
    <w:rsid w:val="6E6E3BE9"/>
    <w:rsid w:val="6E76733B"/>
    <w:rsid w:val="6E8612AA"/>
    <w:rsid w:val="6E9248C1"/>
    <w:rsid w:val="6EA91C0A"/>
    <w:rsid w:val="6EAD16FA"/>
    <w:rsid w:val="6EB365E5"/>
    <w:rsid w:val="6ED0368D"/>
    <w:rsid w:val="6EE92007"/>
    <w:rsid w:val="6EEA392C"/>
    <w:rsid w:val="6EF747E7"/>
    <w:rsid w:val="6EFA7E44"/>
    <w:rsid w:val="6F516BAB"/>
    <w:rsid w:val="6F631DB9"/>
    <w:rsid w:val="6F796C19"/>
    <w:rsid w:val="6F96218E"/>
    <w:rsid w:val="6FB26695"/>
    <w:rsid w:val="6FC211D5"/>
    <w:rsid w:val="6FFF812E"/>
    <w:rsid w:val="70096E04"/>
    <w:rsid w:val="70313A42"/>
    <w:rsid w:val="7049481C"/>
    <w:rsid w:val="705B5186"/>
    <w:rsid w:val="70860455"/>
    <w:rsid w:val="70B54896"/>
    <w:rsid w:val="70C26FB3"/>
    <w:rsid w:val="70C41323"/>
    <w:rsid w:val="70DE5BAC"/>
    <w:rsid w:val="70E06818"/>
    <w:rsid w:val="70EE1B56"/>
    <w:rsid w:val="70EE7FD0"/>
    <w:rsid w:val="70F51CC1"/>
    <w:rsid w:val="70F60C6B"/>
    <w:rsid w:val="711772FF"/>
    <w:rsid w:val="712424A9"/>
    <w:rsid w:val="71816E6E"/>
    <w:rsid w:val="71A30B93"/>
    <w:rsid w:val="720750AB"/>
    <w:rsid w:val="72135D18"/>
    <w:rsid w:val="7213773D"/>
    <w:rsid w:val="721970A7"/>
    <w:rsid w:val="721B4B69"/>
    <w:rsid w:val="722523DA"/>
    <w:rsid w:val="724834E8"/>
    <w:rsid w:val="72651D1D"/>
    <w:rsid w:val="72824C4C"/>
    <w:rsid w:val="728F1117"/>
    <w:rsid w:val="729F57FE"/>
    <w:rsid w:val="72BB1F0C"/>
    <w:rsid w:val="72CC4119"/>
    <w:rsid w:val="72D902DB"/>
    <w:rsid w:val="72D922D2"/>
    <w:rsid w:val="72EC0317"/>
    <w:rsid w:val="72F31818"/>
    <w:rsid w:val="72F40506"/>
    <w:rsid w:val="7329331A"/>
    <w:rsid w:val="73352A0F"/>
    <w:rsid w:val="733E7955"/>
    <w:rsid w:val="733F2341"/>
    <w:rsid w:val="7349576A"/>
    <w:rsid w:val="7363318F"/>
    <w:rsid w:val="73784B15"/>
    <w:rsid w:val="73A40BF2"/>
    <w:rsid w:val="73B9644B"/>
    <w:rsid w:val="73D414D7"/>
    <w:rsid w:val="73E27753"/>
    <w:rsid w:val="73F27BAF"/>
    <w:rsid w:val="73FE47A6"/>
    <w:rsid w:val="74681C20"/>
    <w:rsid w:val="74C4779E"/>
    <w:rsid w:val="74F3598D"/>
    <w:rsid w:val="74FF4400"/>
    <w:rsid w:val="75181898"/>
    <w:rsid w:val="753A35BC"/>
    <w:rsid w:val="755A1EB0"/>
    <w:rsid w:val="757C62BA"/>
    <w:rsid w:val="75993854"/>
    <w:rsid w:val="75CF63FA"/>
    <w:rsid w:val="75D32B1E"/>
    <w:rsid w:val="76005B8B"/>
    <w:rsid w:val="76063720"/>
    <w:rsid w:val="760944E2"/>
    <w:rsid w:val="76116A13"/>
    <w:rsid w:val="761958C7"/>
    <w:rsid w:val="76370B8C"/>
    <w:rsid w:val="76377AFB"/>
    <w:rsid w:val="763C02F5"/>
    <w:rsid w:val="766B147C"/>
    <w:rsid w:val="76827673"/>
    <w:rsid w:val="768C6099"/>
    <w:rsid w:val="76A41635"/>
    <w:rsid w:val="76B15B00"/>
    <w:rsid w:val="76B55D08"/>
    <w:rsid w:val="76B61368"/>
    <w:rsid w:val="76D23B71"/>
    <w:rsid w:val="76D77B5B"/>
    <w:rsid w:val="76DA4F81"/>
    <w:rsid w:val="76E80E22"/>
    <w:rsid w:val="770025E3"/>
    <w:rsid w:val="770754B2"/>
    <w:rsid w:val="77135F98"/>
    <w:rsid w:val="772E30C3"/>
    <w:rsid w:val="774D3A7A"/>
    <w:rsid w:val="77765AAD"/>
    <w:rsid w:val="77D45F4A"/>
    <w:rsid w:val="77D61F04"/>
    <w:rsid w:val="78396B34"/>
    <w:rsid w:val="783B7D77"/>
    <w:rsid w:val="784A7FBA"/>
    <w:rsid w:val="787119EB"/>
    <w:rsid w:val="78762B5D"/>
    <w:rsid w:val="789353C9"/>
    <w:rsid w:val="78BD078C"/>
    <w:rsid w:val="78BE62B2"/>
    <w:rsid w:val="78D04EAD"/>
    <w:rsid w:val="78E977D3"/>
    <w:rsid w:val="79002D6F"/>
    <w:rsid w:val="79050385"/>
    <w:rsid w:val="790D3456"/>
    <w:rsid w:val="79164340"/>
    <w:rsid w:val="791A7F61"/>
    <w:rsid w:val="792E51E6"/>
    <w:rsid w:val="792F71B0"/>
    <w:rsid w:val="794C38BE"/>
    <w:rsid w:val="7950639F"/>
    <w:rsid w:val="79A862DB"/>
    <w:rsid w:val="79DD09BA"/>
    <w:rsid w:val="7A002417"/>
    <w:rsid w:val="7A114262"/>
    <w:rsid w:val="7A312B48"/>
    <w:rsid w:val="7A320D06"/>
    <w:rsid w:val="7A430B5F"/>
    <w:rsid w:val="7A666C01"/>
    <w:rsid w:val="7A826F8A"/>
    <w:rsid w:val="7A9D480F"/>
    <w:rsid w:val="7AAF042F"/>
    <w:rsid w:val="7AAF29A1"/>
    <w:rsid w:val="7AF366E7"/>
    <w:rsid w:val="7B034450"/>
    <w:rsid w:val="7B1228E5"/>
    <w:rsid w:val="7B171D01"/>
    <w:rsid w:val="7B31720F"/>
    <w:rsid w:val="7B580C40"/>
    <w:rsid w:val="7B5D2507"/>
    <w:rsid w:val="7B9A6617"/>
    <w:rsid w:val="7B9B3F93"/>
    <w:rsid w:val="7BA048B9"/>
    <w:rsid w:val="7BB3231A"/>
    <w:rsid w:val="7BBF6E5D"/>
    <w:rsid w:val="7BCB31C0"/>
    <w:rsid w:val="7BD8636F"/>
    <w:rsid w:val="7BE54825"/>
    <w:rsid w:val="7C286864"/>
    <w:rsid w:val="7C3639F5"/>
    <w:rsid w:val="7C606D6D"/>
    <w:rsid w:val="7C693ED0"/>
    <w:rsid w:val="7C6D3A08"/>
    <w:rsid w:val="7C727ADF"/>
    <w:rsid w:val="7C8D1DBB"/>
    <w:rsid w:val="7C961A20"/>
    <w:rsid w:val="7CAF2AE1"/>
    <w:rsid w:val="7CB400F8"/>
    <w:rsid w:val="7CB81B01"/>
    <w:rsid w:val="7D0F68B1"/>
    <w:rsid w:val="7D1172F8"/>
    <w:rsid w:val="7D3E3F8C"/>
    <w:rsid w:val="7D406FB9"/>
    <w:rsid w:val="7D4A45B8"/>
    <w:rsid w:val="7D507DD4"/>
    <w:rsid w:val="7D894928"/>
    <w:rsid w:val="7DB91369"/>
    <w:rsid w:val="7DC26844"/>
    <w:rsid w:val="7DCE3B5B"/>
    <w:rsid w:val="7DDE1223"/>
    <w:rsid w:val="7DFA7D8C"/>
    <w:rsid w:val="7E0429B9"/>
    <w:rsid w:val="7E165433"/>
    <w:rsid w:val="7E301A00"/>
    <w:rsid w:val="7E3037AE"/>
    <w:rsid w:val="7E991412"/>
    <w:rsid w:val="7EA06B86"/>
    <w:rsid w:val="7EEC0498"/>
    <w:rsid w:val="7EFE38AC"/>
    <w:rsid w:val="7EFF6F9C"/>
    <w:rsid w:val="7F032C71"/>
    <w:rsid w:val="7F054C3B"/>
    <w:rsid w:val="7F0C5FC9"/>
    <w:rsid w:val="7F1B539F"/>
    <w:rsid w:val="7F240ECD"/>
    <w:rsid w:val="7F4A08A0"/>
    <w:rsid w:val="7F54171E"/>
    <w:rsid w:val="7F563747"/>
    <w:rsid w:val="7F840255"/>
    <w:rsid w:val="7F8C1A7C"/>
    <w:rsid w:val="7FCE327F"/>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Times New Roman"/>
    </w:rPr>
  </w:style>
  <w:style w:type="paragraph" w:styleId="3">
    <w:name w:val="Normal Indent"/>
    <w:basedOn w:val="1"/>
    <w:qFormat/>
    <w:uiPriority w:val="99"/>
    <w:pPr>
      <w:ind w:firstLine="420"/>
    </w:pPr>
    <w:rPr>
      <w:rFonts w:ascii="Calibri" w:hAnsi="Calibri"/>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line="360" w:lineRule="auto"/>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000000"/>
      <w:u w:val="none"/>
    </w:rPr>
  </w:style>
  <w:style w:type="character" w:styleId="12">
    <w:name w:val="Emphasis"/>
    <w:basedOn w:val="10"/>
    <w:qFormat/>
    <w:uiPriority w:val="0"/>
  </w:style>
  <w:style w:type="character" w:styleId="13">
    <w:name w:val="Hyperlink"/>
    <w:basedOn w:val="10"/>
    <w:qFormat/>
    <w:uiPriority w:val="0"/>
    <w:rPr>
      <w:color w:val="000000"/>
      <w:u w:val="none"/>
    </w:rPr>
  </w:style>
  <w:style w:type="paragraph" w:customStyle="1" w:styleId="14">
    <w:name w:val="p0"/>
    <w:basedOn w:val="1"/>
    <w:qFormat/>
    <w:uiPriority w:val="0"/>
    <w:pPr>
      <w:widowControl/>
    </w:pPr>
    <w:rPr>
      <w:kern w:val="0"/>
      <w:szCs w:val="21"/>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font01"/>
    <w:basedOn w:val="10"/>
    <w:qFormat/>
    <w:uiPriority w:val="0"/>
    <w:rPr>
      <w:rFonts w:ascii="Arial" w:hAnsi="Arial" w:cs="Arial"/>
      <w:color w:val="000000"/>
      <w:sz w:val="20"/>
      <w:szCs w:val="20"/>
      <w:u w:val="none"/>
    </w:rPr>
  </w:style>
  <w:style w:type="character" w:customStyle="1" w:styleId="17">
    <w:name w:val="font11"/>
    <w:basedOn w:val="10"/>
    <w:qFormat/>
    <w:uiPriority w:val="0"/>
    <w:rPr>
      <w:rFonts w:hint="eastAsia" w:ascii="宋体" w:hAnsi="宋体" w:eastAsia="宋体" w:cs="宋体"/>
      <w:color w:val="000000"/>
      <w:sz w:val="20"/>
      <w:szCs w:val="20"/>
      <w:u w:val="none"/>
    </w:rPr>
  </w:style>
  <w:style w:type="character" w:customStyle="1" w:styleId="18">
    <w:name w:val="a_p_2"/>
    <w:basedOn w:val="10"/>
    <w:qFormat/>
    <w:uiPriority w:val="0"/>
  </w:style>
  <w:style w:type="character" w:customStyle="1" w:styleId="19">
    <w:name w:val="a_p_21"/>
    <w:basedOn w:val="10"/>
    <w:qFormat/>
    <w:uiPriority w:val="0"/>
    <w:rPr>
      <w:sz w:val="27"/>
      <w:szCs w:val="27"/>
    </w:rPr>
  </w:style>
  <w:style w:type="character" w:customStyle="1" w:styleId="20">
    <w:name w:val="ul_li_a_1"/>
    <w:basedOn w:val="10"/>
    <w:qFormat/>
    <w:uiPriority w:val="0"/>
    <w:rPr>
      <w:b/>
      <w:bCs/>
      <w:color w:val="FFFFFF"/>
    </w:rPr>
  </w:style>
  <w:style w:type="character" w:customStyle="1" w:styleId="21">
    <w:name w:val="exap"/>
    <w:basedOn w:val="10"/>
    <w:qFormat/>
    <w:uiPriority w:val="0"/>
    <w:rPr>
      <w:sz w:val="27"/>
      <w:szCs w:val="27"/>
    </w:rPr>
  </w:style>
  <w:style w:type="character" w:customStyle="1" w:styleId="22">
    <w:name w:val="a_p_1"/>
    <w:basedOn w:val="10"/>
    <w:qFormat/>
    <w:uiPriority w:val="0"/>
    <w:rPr>
      <w:sz w:val="27"/>
      <w:szCs w:val="27"/>
    </w:rPr>
  </w:style>
  <w:style w:type="character" w:customStyle="1" w:styleId="23">
    <w:name w:val="a_p_3"/>
    <w:basedOn w:val="10"/>
    <w:qFormat/>
    <w:uiPriority w:val="0"/>
    <w:rPr>
      <w:sz w:val="27"/>
      <w:szCs w:val="27"/>
    </w:rPr>
  </w:style>
  <w:style w:type="character" w:customStyle="1" w:styleId="24">
    <w:name w:val="font51"/>
    <w:basedOn w:val="10"/>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1.xml"/><Relationship Id="rId14" Type="http://schemas.openxmlformats.org/officeDocument/2006/relationships/chart" Target="charts/chart10.xml"/><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E:\&#32508;&#21512;&#32479;&#35745;\2-&#32508;&#21512;\&#32479;&#35745;&#20844;&#25253;\2022&#24180;&#32479;&#35745;&#20844;&#25253;\2023&#24180;&#32479;&#35745;&#20844;&#25253;&#65288;&#22270;&#34920;&#65289;.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32508;&#21512;&#32479;&#35745;\2-&#32508;&#21512;\&#32479;&#35745;&#20844;&#25253;\2022&#24180;&#32479;&#35745;&#20844;&#25253;\2023&#24180;&#32479;&#35745;&#20844;&#25253;&#65288;&#22270;&#34920;&#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2508;&#21512;&#32479;&#35745;\2-&#32508;&#21512;\&#32479;&#35745;&#20844;&#25253;\2022&#24180;&#32479;&#35745;&#20844;&#25253;\2023&#24180;&#32479;&#35745;&#20844;&#25253;&#65288;&#22270;&#34920;&#65289;.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32508;&#21512;&#32479;&#35745;\2-&#32508;&#21512;\&#32479;&#35745;&#20844;&#25253;\2022&#24180;&#32479;&#35745;&#20844;&#25253;\2023&#24180;&#32479;&#35745;&#20844;&#25253;&#65288;&#22270;&#34920;&#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2508;&#21512;&#32479;&#35745;\2-&#32508;&#21512;\&#32479;&#35745;&#20844;&#25253;\2022&#24180;&#32479;&#35745;&#20844;&#25253;\2023&#24180;&#32479;&#35745;&#20844;&#25253;&#65288;&#22270;&#3492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1  2018-2022</a:t>
            </a:r>
            <a:r>
              <a:rPr altLang="en-US">
                <a:solidFill>
                  <a:schemeClr val="tx1"/>
                </a:solidFill>
              </a:rPr>
              <a:t>年中站区地区生产总值及其增长速度</a:t>
            </a:r>
            <a:endParaRPr altLang="en-US">
              <a:solidFill>
                <a:schemeClr val="tx1"/>
              </a:solidFill>
            </a:endParaRPr>
          </a:p>
        </c:rich>
      </c:tx>
      <c:layout/>
      <c:overlay val="false"/>
      <c:spPr>
        <a:noFill/>
        <a:ln>
          <a:noFill/>
        </a:ln>
        <a:effectLst/>
      </c:spPr>
    </c:title>
    <c:autoTitleDeleted val="false"/>
    <c:plotArea>
      <c:layout>
        <c:manualLayout>
          <c:layoutTarget val="inner"/>
          <c:xMode val="edge"/>
          <c:yMode val="edge"/>
          <c:x val="0.0778175106702042"/>
          <c:y val="0.178280121183873"/>
          <c:w val="0.864205790748645"/>
          <c:h val="0.636308552784899"/>
        </c:manualLayout>
      </c:layout>
      <c:barChart>
        <c:barDir val="col"/>
        <c:grouping val="clustered"/>
        <c:varyColors val="false"/>
        <c:ser>
          <c:idx val="0"/>
          <c:order val="0"/>
          <c:tx>
            <c:strRef>
              <c:f>'[2023年统计公报（图表）.xlsx]Sheet1'!$B$2</c:f>
              <c:strCache>
                <c:ptCount val="1"/>
                <c:pt idx="0">
                  <c:v>地区生产总值</c:v>
                </c:pt>
              </c:strCache>
            </c:strRef>
          </c:tx>
          <c:spPr>
            <a:solidFill>
              <a:schemeClr val="accent2"/>
            </a:solidFill>
            <a:ln>
              <a:solidFill>
                <a:schemeClr val="accent2"/>
              </a:solid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'[2023年统计公报（图表）.xlsx]Sheet1'!$A$3:$A$7</c:f>
              <c:numCache>
                <c:formatCode>General</c:formatCode>
                <c:ptCount val="5"/>
                <c:pt idx="0">
                  <c:v>2018</c:v>
                </c:pt>
                <c:pt idx="1">
                  <c:v>2019</c:v>
                </c:pt>
                <c:pt idx="2">
                  <c:v>2020</c:v>
                </c:pt>
                <c:pt idx="3">
                  <c:v>2021</c:v>
                </c:pt>
                <c:pt idx="4">
                  <c:v>2022</c:v>
                </c:pt>
              </c:numCache>
            </c:numRef>
          </c:cat>
          <c:val>
            <c:numRef>
              <c:f>'[2023年统计公报（图表）.xlsx]Sheet1'!$B$3:$B$7</c:f>
              <c:numCache>
                <c:formatCode>0.0_ </c:formatCode>
                <c:ptCount val="5"/>
                <c:pt idx="0">
                  <c:v>105.4086</c:v>
                </c:pt>
                <c:pt idx="1">
                  <c:v>118.2038</c:v>
                </c:pt>
                <c:pt idx="2">
                  <c:v>127.1234</c:v>
                </c:pt>
                <c:pt idx="3">
                  <c:v>149.3</c:v>
                </c:pt>
                <c:pt idx="4">
                  <c:v>161.5</c:v>
                </c:pt>
              </c:numCache>
            </c:numRef>
          </c:val>
        </c:ser>
        <c:dLbls>
          <c:showLegendKey val="false"/>
          <c:showVal val="true"/>
          <c:showCatName val="false"/>
          <c:showSerName val="false"/>
          <c:showPercent val="false"/>
          <c:showBubbleSize val="false"/>
        </c:dLbls>
        <c:gapWidth val="219"/>
        <c:overlap val="-27"/>
        <c:axId val="163717467"/>
        <c:axId val="802342666"/>
      </c:barChart>
      <c:lineChart>
        <c:grouping val="standard"/>
        <c:varyColors val="false"/>
        <c:ser>
          <c:idx val="1"/>
          <c:order val="1"/>
          <c:tx>
            <c:strRef>
              <c:f>'[2023年统计公报（图表）.xlsx]Sheet1'!$C$2</c:f>
              <c:strCache>
                <c:ptCount val="1"/>
                <c:pt idx="0">
                  <c:v>比上年增长</c:v>
                </c:pt>
              </c:strCache>
            </c:strRef>
          </c:tx>
          <c:spPr>
            <a:ln w="28575" cap="rnd">
              <a:solidFill>
                <a:schemeClr val="accent1"/>
              </a:solidFill>
              <a:round/>
              <a:headEnd type="none"/>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'[2023年统计公报（图表）.xlsx]Sheet1'!$A$3:$A$7</c:f>
              <c:numCache>
                <c:formatCode>General</c:formatCode>
                <c:ptCount val="5"/>
                <c:pt idx="0">
                  <c:v>2018</c:v>
                </c:pt>
                <c:pt idx="1">
                  <c:v>2019</c:v>
                </c:pt>
                <c:pt idx="2">
                  <c:v>2020</c:v>
                </c:pt>
                <c:pt idx="3">
                  <c:v>2021</c:v>
                </c:pt>
                <c:pt idx="4">
                  <c:v>2022</c:v>
                </c:pt>
              </c:numCache>
            </c:numRef>
          </c:cat>
          <c:val>
            <c:numRef>
              <c:f>'[2023年统计公报（图表）.xlsx]Sheet1'!$C$3:$C$7</c:f>
              <c:numCache>
                <c:formatCode>General</c:formatCode>
                <c:ptCount val="5"/>
                <c:pt idx="0">
                  <c:v>7.2</c:v>
                </c:pt>
                <c:pt idx="1">
                  <c:v>9.9</c:v>
                </c:pt>
                <c:pt idx="2">
                  <c:v>-11.4</c:v>
                </c:pt>
                <c:pt idx="3">
                  <c:v>6.3</c:v>
                </c:pt>
                <c:pt idx="4">
                  <c:v>5.7</c:v>
                </c:pt>
              </c:numCache>
            </c:numRef>
          </c:val>
          <c:smooth val="false"/>
        </c:ser>
        <c:dLbls>
          <c:showLegendKey val="false"/>
          <c:showVal val="true"/>
          <c:showCatName val="false"/>
          <c:showSerName val="false"/>
          <c:showPercent val="false"/>
          <c:showBubbleSize val="false"/>
        </c:dLbls>
        <c:marker val="true"/>
        <c:smooth val="false"/>
        <c:axId val="836800411"/>
        <c:axId val="365353363"/>
      </c:lineChart>
      <c:catAx>
        <c:axId val="163717467"/>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solidFill>
                    <a:latin typeface="+mn-lt"/>
                    <a:ea typeface="+mn-ea"/>
                    <a:cs typeface="+mn-cs"/>
                  </a:defRPr>
                </a:pPr>
                <a:r>
                  <a:rPr>
                    <a:solidFill>
                      <a:schemeClr val="tx1"/>
                    </a:solidFill>
                  </a:rPr>
                  <a:t>亿元</a:t>
                </a:r>
                <a:endParaRPr>
                  <a:solidFill>
                    <a:schemeClr val="tx1"/>
                  </a:solidFill>
                </a:endParaRPr>
              </a:p>
            </c:rich>
          </c:tx>
          <c:layout>
            <c:manualLayout>
              <c:xMode val="edge"/>
              <c:yMode val="edge"/>
              <c:x val="0.0132079824662591"/>
              <c:y val="0.0680494057329294"/>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802342666"/>
        <c:crosses val="autoZero"/>
        <c:auto val="true"/>
        <c:lblAlgn val="ctr"/>
        <c:lblOffset val="100"/>
        <c:noMultiLvlLbl val="false"/>
      </c:catAx>
      <c:valAx>
        <c:axId val="802342666"/>
        <c:scaling>
          <c:orientation val="minMax"/>
        </c:scaling>
        <c:delete val="false"/>
        <c:axPos val="l"/>
        <c:majorGridlines>
          <c:spPr>
            <a:ln w="9525" cap="flat" cmpd="sng" algn="ctr">
              <a:solidFill>
                <a:schemeClr val="tx1">
                  <a:lumMod val="15000"/>
                  <a:lumOff val="85000"/>
                </a:schemeClr>
              </a:solidFill>
              <a:round/>
            </a:ln>
            <a:effectLst/>
          </c:spPr>
        </c:majorGridlines>
        <c:numFmt formatCode="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163717467"/>
        <c:crosses val="autoZero"/>
        <c:crossBetween val="between"/>
      </c:valAx>
      <c:catAx>
        <c:axId val="836800411"/>
        <c:scaling>
          <c:orientation val="minMax"/>
        </c:scaling>
        <c:delete val="true"/>
        <c:axPos val="b"/>
        <c:title>
          <c:tx>
            <c:rich>
              <a:bodyPr rot="0" spcFirstLastPara="0" vertOverflow="ellipsis" vert="horz" wrap="square" anchor="ctr" anchorCtr="true"/>
              <a:lstStyle/>
              <a:p>
                <a:pPr defTabSz="914400">
                  <a:defRPr lang="zh-CN" sz="1000" b="0" i="0" u="none" strike="noStrike" kern="1200" baseline="0">
                    <a:solidFill>
                      <a:schemeClr val="tx1"/>
                    </a:solidFill>
                    <a:latin typeface="+mn-lt"/>
                    <a:ea typeface="+mn-ea"/>
                    <a:cs typeface="+mn-cs"/>
                  </a:defRPr>
                </a:pPr>
                <a:r>
                  <a:rPr lang="en-US" altLang="zh-CN"/>
                  <a:t>%</a:t>
                </a:r>
                <a:endParaRPr lang="en-US" altLang="zh-CN"/>
              </a:p>
            </c:rich>
          </c:tx>
          <c:layout>
            <c:manualLayout>
              <c:xMode val="edge"/>
              <c:yMode val="edge"/>
              <c:x val="0.948552312838851"/>
              <c:y val="0.0501048706595199"/>
            </c:manualLayout>
          </c:layout>
          <c:overlay val="false"/>
          <c:spPr>
            <a:noFill/>
            <a:ln>
              <a:noFill/>
            </a:ln>
            <a:effectLst/>
          </c:spPr>
        </c:titl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365353363"/>
        <c:crosses val="autoZero"/>
        <c:auto val="true"/>
        <c:lblAlgn val="ctr"/>
        <c:lblOffset val="100"/>
        <c:noMultiLvlLbl val="false"/>
      </c:catAx>
      <c:valAx>
        <c:axId val="365353363"/>
        <c:scaling>
          <c:orientation val="minMax"/>
        </c:scaling>
        <c:delete val="false"/>
        <c:axPos val="r"/>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836800411"/>
        <c:crosses val="max"/>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
    <c:plotVisOnly val="true"/>
    <c:dispBlanksAs val="gap"/>
    <c:showDLblsOverMax val="false"/>
  </c:chart>
  <c:spPr>
    <a:solidFill>
      <a:schemeClr val="bg1">
        <a:alpha val="88000"/>
      </a:schemeClr>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spc="0" baseline="0">
                <a:solidFill>
                  <a:schemeClr val="tx1">
                    <a:lumMod val="65000"/>
                    <a:lumOff val="35000"/>
                  </a:schemeClr>
                </a:solidFill>
                <a:latin typeface="+mn-lt"/>
                <a:ea typeface="+mn-ea"/>
                <a:cs typeface="+mn-cs"/>
              </a:defRPr>
            </a:pPr>
            <a:r>
              <a:rPr b="1"/>
              <a:t>图</a:t>
            </a:r>
            <a:r>
              <a:rPr lang="en-US" altLang="zh-CN" b="1"/>
              <a:t>10  2018-2022</a:t>
            </a:r>
            <a:r>
              <a:rPr altLang="en-US" b="1"/>
              <a:t>年中站区一般公共预算收入及其增长速度</a:t>
            </a:r>
            <a:endParaRPr altLang="en-US" b="1"/>
          </a:p>
        </c:rich>
      </c:tx>
      <c:layout/>
      <c:overlay val="false"/>
      <c:spPr>
        <a:noFill/>
        <a:ln>
          <a:noFill/>
        </a:ln>
        <a:effectLst/>
      </c:spPr>
    </c:title>
    <c:autoTitleDeleted val="false"/>
    <c:plotArea>
      <c:layout>
        <c:manualLayout>
          <c:layoutTarget val="inner"/>
          <c:xMode val="edge"/>
          <c:yMode val="edge"/>
          <c:x val="0.0674292316580012"/>
          <c:y val="0.243961352657005"/>
          <c:w val="0.865141536683998"/>
          <c:h val="0.539951690821256"/>
        </c:manualLayout>
      </c:layout>
      <c:barChart>
        <c:barDir val="col"/>
        <c:grouping val="clustered"/>
        <c:varyColors val="false"/>
        <c:ser>
          <c:idx val="0"/>
          <c:order val="0"/>
          <c:tx>
            <c:strRef>
              <c:f>'[2023年统计公报（图表）.xlsx]Sheet1'!$B$165</c:f>
              <c:strCache>
                <c:ptCount val="1"/>
                <c:pt idx="0">
                  <c:v>一般公共预算收入</c:v>
                </c:pt>
              </c:strCache>
            </c:strRef>
          </c:tx>
          <c:spPr>
            <a:solidFill>
              <a:schemeClr val="accent2"/>
            </a:solidFill>
            <a:ln>
              <a:noFill/>
            </a:ln>
            <a:effectLst/>
          </c:spPr>
          <c:invertIfNegative val="false"/>
          <c:dLbls>
            <c:delete val="true"/>
          </c:dLbls>
          <c:cat>
            <c:numRef>
              <c:f>'[2023年统计公报（图表）.xlsx]Sheet1'!$A$166:$A$170</c:f>
              <c:numCache>
                <c:formatCode>General</c:formatCode>
                <c:ptCount val="5"/>
                <c:pt idx="0">
                  <c:v>2018</c:v>
                </c:pt>
                <c:pt idx="1">
                  <c:v>2019</c:v>
                </c:pt>
                <c:pt idx="2">
                  <c:v>2020</c:v>
                </c:pt>
                <c:pt idx="3">
                  <c:v>2021</c:v>
                </c:pt>
                <c:pt idx="4">
                  <c:v>2022</c:v>
                </c:pt>
              </c:numCache>
            </c:numRef>
          </c:cat>
          <c:val>
            <c:numRef>
              <c:f>'[2023年统计公报（图表）.xlsx]Sheet1'!$B$166:$B$170</c:f>
              <c:numCache>
                <c:formatCode>0.0_ </c:formatCode>
                <c:ptCount val="5"/>
                <c:pt idx="0">
                  <c:v>7.3531</c:v>
                </c:pt>
                <c:pt idx="1">
                  <c:v>8.3858</c:v>
                </c:pt>
                <c:pt idx="2">
                  <c:v>8.856</c:v>
                </c:pt>
                <c:pt idx="3">
                  <c:v>10.1378</c:v>
                </c:pt>
                <c:pt idx="4">
                  <c:v>11.5</c:v>
                </c:pt>
              </c:numCache>
            </c:numRef>
          </c:val>
        </c:ser>
        <c:dLbls>
          <c:showLegendKey val="false"/>
          <c:showVal val="false"/>
          <c:showCatName val="false"/>
          <c:showSerName val="false"/>
          <c:showPercent val="false"/>
          <c:showBubbleSize val="false"/>
        </c:dLbls>
        <c:gapWidth val="219"/>
        <c:overlap val="-27"/>
        <c:axId val="617009024"/>
        <c:axId val="127959882"/>
      </c:barChart>
      <c:lineChart>
        <c:grouping val="standard"/>
        <c:varyColors val="false"/>
        <c:ser>
          <c:idx val="1"/>
          <c:order val="1"/>
          <c:tx>
            <c:strRef>
              <c:f>'[2023年统计公报（图表）.xlsx]Sheet1'!$C$165</c:f>
              <c:strCache>
                <c:ptCount val="1"/>
                <c:pt idx="0">
                  <c:v>比上年增长</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034578313253012"/>
                  <c:y val="-0.0619647355163728"/>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180722891566265"/>
                  <c:y val="-0.0448362720403023"/>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96385542168675"/>
                  <c:y val="-0.017128463476070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410843373493976"/>
                  <c:y val="-0.0481108312342569"/>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410843373493976"/>
                  <c:y val="-0.089168765743073"/>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'[2023年统计公报（图表）.xlsx]Sheet1'!$A$166:$A$170</c:f>
              <c:numCache>
                <c:formatCode>General</c:formatCode>
                <c:ptCount val="5"/>
                <c:pt idx="0">
                  <c:v>2018</c:v>
                </c:pt>
                <c:pt idx="1">
                  <c:v>2019</c:v>
                </c:pt>
                <c:pt idx="2">
                  <c:v>2020</c:v>
                </c:pt>
                <c:pt idx="3">
                  <c:v>2021</c:v>
                </c:pt>
                <c:pt idx="4">
                  <c:v>2022</c:v>
                </c:pt>
              </c:numCache>
            </c:numRef>
          </c:cat>
          <c:val>
            <c:numRef>
              <c:f>'[2023年统计公报（图表）.xlsx]Sheet1'!$C$166:$C$170</c:f>
              <c:numCache>
                <c:formatCode>0.0_ </c:formatCode>
                <c:ptCount val="5"/>
                <c:pt idx="0">
                  <c:v>12</c:v>
                </c:pt>
                <c:pt idx="1">
                  <c:v>14</c:v>
                </c:pt>
                <c:pt idx="2">
                  <c:v>5.6</c:v>
                </c:pt>
                <c:pt idx="3">
                  <c:v>15.6</c:v>
                </c:pt>
                <c:pt idx="4">
                  <c:v>13.5</c:v>
                </c:pt>
              </c:numCache>
            </c:numRef>
          </c:val>
          <c:smooth val="false"/>
        </c:ser>
        <c:dLbls>
          <c:showLegendKey val="false"/>
          <c:showVal val="false"/>
          <c:showCatName val="false"/>
          <c:showSerName val="false"/>
          <c:showPercent val="false"/>
          <c:showBubbleSize val="false"/>
        </c:dLbls>
        <c:marker val="true"/>
        <c:smooth val="false"/>
        <c:axId val="866502174"/>
        <c:axId val="507380944"/>
      </c:lineChart>
      <c:catAx>
        <c:axId val="617009024"/>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亿元</a:t>
                </a:r>
              </a:p>
            </c:rich>
          </c:tx>
          <c:layout>
            <c:manualLayout>
              <c:xMode val="edge"/>
              <c:yMode val="edge"/>
              <c:x val="0.00595031773541306"/>
              <c:y val="0.146376811594203"/>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27959882"/>
        <c:crosses val="autoZero"/>
        <c:auto val="true"/>
        <c:lblAlgn val="ctr"/>
        <c:lblOffset val="100"/>
        <c:noMultiLvlLbl val="false"/>
      </c:catAx>
      <c:valAx>
        <c:axId val="127959882"/>
        <c:scaling>
          <c:orientation val="minMax"/>
        </c:scaling>
        <c:delete val="false"/>
        <c:axPos val="l"/>
        <c:majorGridlines>
          <c:spPr>
            <a:ln w="9525" cap="flat" cmpd="sng" algn="ctr">
              <a:solidFill>
                <a:schemeClr val="tx1">
                  <a:lumMod val="15000"/>
                  <a:lumOff val="85000"/>
                </a:schemeClr>
              </a:solidFill>
              <a:round/>
            </a:ln>
            <a:effectLst/>
          </c:spPr>
        </c:majorGridlines>
        <c:numFmt formatCode="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17009024"/>
        <c:crosses val="autoZero"/>
        <c:crossBetween val="between"/>
      </c:valAx>
      <c:catAx>
        <c:axId val="866502174"/>
        <c:scaling>
          <c:orientation val="minMax"/>
        </c:scaling>
        <c:delete val="tru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949740034662045"/>
              <c:y val="0.142270531400966"/>
            </c:manualLayout>
          </c:layout>
          <c:overlay val="false"/>
          <c:spPr>
            <a:noFill/>
            <a:ln>
              <a:noFill/>
            </a:ln>
            <a:effectLst/>
          </c:spPr>
        </c:titl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07380944"/>
        <c:crosses val="autoZero"/>
        <c:auto val="true"/>
        <c:lblAlgn val="ctr"/>
        <c:lblOffset val="100"/>
        <c:noMultiLvlLbl val="false"/>
      </c:catAx>
      <c:valAx>
        <c:axId val="507380944"/>
        <c:scaling>
          <c:orientation val="minMax"/>
        </c:scaling>
        <c:delete val="false"/>
        <c:axPos val="r"/>
        <c:numFmt formatCode="0.0_ "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66502174"/>
        <c:crosses val="max"/>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11  2018-2022</a:t>
            </a:r>
            <a:r>
              <a:rPr altLang="en-US">
                <a:solidFill>
                  <a:schemeClr val="tx1"/>
                </a:solidFill>
              </a:rPr>
              <a:t>年中站区居民人均可支配收入及其增长速度</a:t>
            </a:r>
            <a:endParaRPr altLang="en-US">
              <a:solidFill>
                <a:schemeClr val="tx1"/>
              </a:solidFill>
            </a:endParaRPr>
          </a:p>
        </c:rich>
      </c:tx>
      <c:layout/>
      <c:overlay val="false"/>
      <c:spPr>
        <a:noFill/>
        <a:ln>
          <a:noFill/>
        </a:ln>
        <a:effectLst/>
      </c:spPr>
    </c:title>
    <c:autoTitleDeleted val="false"/>
    <c:plotArea>
      <c:layout>
        <c:manualLayout>
          <c:layoutTarget val="inner"/>
          <c:xMode val="edge"/>
          <c:yMode val="edge"/>
          <c:x val="0.082006632802989"/>
          <c:y val="0.252233676975945"/>
          <c:w val="0.864320557491289"/>
          <c:h val="0.541672394043528"/>
        </c:manualLayout>
      </c:layout>
      <c:barChart>
        <c:barDir val="col"/>
        <c:grouping val="clustered"/>
        <c:varyColors val="false"/>
        <c:ser>
          <c:idx val="0"/>
          <c:order val="0"/>
          <c:tx>
            <c:strRef>
              <c:f>'[2023年统计公报（图表）.xlsx]Sheet1'!$B$183</c:f>
              <c:strCache>
                <c:ptCount val="1"/>
                <c:pt idx="0">
                  <c:v>居民人均可支配收入</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'[2023年统计公报（图表）.xlsx]Sheet1'!$A$184:$A$188</c:f>
              <c:numCache>
                <c:formatCode>General</c:formatCode>
                <c:ptCount val="5"/>
                <c:pt idx="0">
                  <c:v>2018</c:v>
                </c:pt>
                <c:pt idx="1">
                  <c:v>2019</c:v>
                </c:pt>
                <c:pt idx="2">
                  <c:v>2020</c:v>
                </c:pt>
                <c:pt idx="3">
                  <c:v>2021</c:v>
                </c:pt>
                <c:pt idx="4">
                  <c:v>2022</c:v>
                </c:pt>
              </c:numCache>
            </c:numRef>
          </c:cat>
          <c:val>
            <c:numRef>
              <c:f>'[2023年统计公报（图表）.xlsx]Sheet1'!$B$184:$B$188</c:f>
              <c:numCache>
                <c:formatCode>0_ </c:formatCode>
                <c:ptCount val="5"/>
                <c:pt idx="0">
                  <c:v>23574</c:v>
                </c:pt>
                <c:pt idx="1">
                  <c:v>25671</c:v>
                </c:pt>
                <c:pt idx="2">
                  <c:v>26509</c:v>
                </c:pt>
                <c:pt idx="3">
                  <c:v>28645</c:v>
                </c:pt>
                <c:pt idx="4">
                  <c:v>30227.1</c:v>
                </c:pt>
              </c:numCache>
            </c:numRef>
          </c:val>
        </c:ser>
        <c:dLbls>
          <c:showLegendKey val="false"/>
          <c:showVal val="true"/>
          <c:showCatName val="false"/>
          <c:showSerName val="false"/>
          <c:showPercent val="false"/>
          <c:showBubbleSize val="false"/>
        </c:dLbls>
        <c:gapWidth val="219"/>
        <c:overlap val="-27"/>
        <c:axId val="623554171"/>
        <c:axId val="489731854"/>
      </c:barChart>
      <c:lineChart>
        <c:grouping val="standard"/>
        <c:varyColors val="false"/>
        <c:ser>
          <c:idx val="1"/>
          <c:order val="1"/>
          <c:tx>
            <c:strRef>
              <c:f>'[2023年统计公报（图表）.xlsx]Sheet1'!$C$183</c:f>
              <c:strCache>
                <c:ptCount val="1"/>
                <c:pt idx="0">
                  <c:v>比上年增长</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0410843373493976"/>
                  <c:y val="-0.0580293699668404"/>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27901468498342"/>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31325301204819"/>
                  <c:y val="-0.00331596399810516"/>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328915662650602"/>
                  <c:y val="-0.0807674088109901"/>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163855421686747"/>
                  <c:y val="-0.00331596399810516"/>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'[2023年统计公报（图表）.xlsx]Sheet1'!$A$184:$A$188</c:f>
              <c:numCache>
                <c:formatCode>General</c:formatCode>
                <c:ptCount val="5"/>
                <c:pt idx="0">
                  <c:v>2018</c:v>
                </c:pt>
                <c:pt idx="1">
                  <c:v>2019</c:v>
                </c:pt>
                <c:pt idx="2">
                  <c:v>2020</c:v>
                </c:pt>
                <c:pt idx="3">
                  <c:v>2021</c:v>
                </c:pt>
                <c:pt idx="4">
                  <c:v>2022</c:v>
                </c:pt>
              </c:numCache>
            </c:numRef>
          </c:cat>
          <c:val>
            <c:numRef>
              <c:f>'[2023年统计公报（图表）.xlsx]Sheet1'!$C$184:$C$188</c:f>
              <c:numCache>
                <c:formatCode>General</c:formatCode>
                <c:ptCount val="5"/>
                <c:pt idx="0">
                  <c:v>7.9</c:v>
                </c:pt>
                <c:pt idx="1">
                  <c:v>8.9</c:v>
                </c:pt>
                <c:pt idx="2">
                  <c:v>3.3</c:v>
                </c:pt>
                <c:pt idx="3">
                  <c:v>8.1</c:v>
                </c:pt>
                <c:pt idx="4" c:formatCode="0.0_ ">
                  <c:v>5.5</c:v>
                </c:pt>
              </c:numCache>
            </c:numRef>
          </c:val>
          <c:smooth val="false"/>
        </c:ser>
        <c:dLbls>
          <c:showLegendKey val="false"/>
          <c:showVal val="true"/>
          <c:showCatName val="false"/>
          <c:showSerName val="false"/>
          <c:showPercent val="false"/>
          <c:showBubbleSize val="false"/>
        </c:dLbls>
        <c:marker val="true"/>
        <c:smooth val="false"/>
        <c:axId val="784498364"/>
        <c:axId val="877297046"/>
      </c:lineChart>
      <c:catAx>
        <c:axId val="623554171"/>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元</a:t>
                </a:r>
              </a:p>
            </c:rich>
          </c:tx>
          <c:layout>
            <c:manualLayout>
              <c:xMode val="edge"/>
              <c:yMode val="edge"/>
              <c:x val="0.0264583333333333"/>
              <c:y val="0.119444444444444"/>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89731854"/>
        <c:crosses val="autoZero"/>
        <c:auto val="true"/>
        <c:lblAlgn val="ctr"/>
        <c:lblOffset val="100"/>
        <c:noMultiLvlLbl val="false"/>
      </c:catAx>
      <c:valAx>
        <c:axId val="489731854"/>
        <c:scaling>
          <c:orientation val="minMax"/>
        </c:scaling>
        <c:delete val="false"/>
        <c:axPos val="l"/>
        <c:majorGridlines>
          <c:spPr>
            <a:ln w="9525" cap="flat" cmpd="sng" algn="ctr">
              <a:solidFill>
                <a:schemeClr val="tx1">
                  <a:lumMod val="15000"/>
                  <a:lumOff val="85000"/>
                </a:schemeClr>
              </a:solidFill>
              <a:round/>
            </a:ln>
            <a:effectLst/>
          </c:spPr>
        </c:majorGridlines>
        <c:numFmt formatCode="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3554171"/>
        <c:crosses val="autoZero"/>
        <c:crossBetween val="between"/>
      </c:valAx>
      <c:catAx>
        <c:axId val="784498364"/>
        <c:scaling>
          <c:orientation val="minMax"/>
        </c:scaling>
        <c:delete val="tru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947083333333333"/>
              <c:y val="0.108564814814815"/>
            </c:manualLayout>
          </c:layout>
          <c:overlay val="false"/>
          <c:spPr>
            <a:noFill/>
            <a:ln>
              <a:noFill/>
            </a:ln>
            <a:effectLst/>
          </c:spPr>
        </c:titl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7297046"/>
        <c:crosses val="autoZero"/>
        <c:auto val="true"/>
        <c:lblAlgn val="ctr"/>
        <c:lblOffset val="100"/>
        <c:noMultiLvlLbl val="false"/>
      </c:catAx>
      <c:valAx>
        <c:axId val="877297046"/>
        <c:scaling>
          <c:orientation val="minMax"/>
        </c:scaling>
        <c:delete val="false"/>
        <c:axPos val="r"/>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84498364"/>
        <c:crosses val="max"/>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2  2018-2022</a:t>
            </a:r>
            <a:r>
              <a:rPr altLang="en-US">
                <a:solidFill>
                  <a:schemeClr val="tx1"/>
                </a:solidFill>
              </a:rPr>
              <a:t>年中站区三次产业增加值占地区生产总值比重</a:t>
            </a:r>
            <a:endParaRPr altLang="en-US">
              <a:solidFill>
                <a:schemeClr val="tx1"/>
              </a:solidFill>
            </a:endParaRPr>
          </a:p>
        </c:rich>
      </c:tx>
      <c:layout>
        <c:manualLayout>
          <c:xMode val="edge"/>
          <c:yMode val="edge"/>
          <c:x val="0.110429313335317"/>
          <c:y val="0.0173994421467556"/>
        </c:manualLayout>
      </c:layout>
      <c:overlay val="false"/>
      <c:spPr>
        <a:noFill/>
        <a:ln>
          <a:noFill/>
        </a:ln>
        <a:effectLst/>
      </c:spPr>
    </c:title>
    <c:autoTitleDeleted val="false"/>
    <c:plotArea>
      <c:layout>
        <c:manualLayout>
          <c:layoutTarget val="inner"/>
          <c:xMode val="edge"/>
          <c:yMode val="edge"/>
          <c:x val="0.0692869565217391"/>
          <c:y val="0.203252032520325"/>
          <c:w val="0.876684057971014"/>
          <c:h val="0.602648083623693"/>
        </c:manualLayout>
      </c:layout>
      <c:barChart>
        <c:barDir val="col"/>
        <c:grouping val="stacked"/>
        <c:varyColors val="false"/>
        <c:ser>
          <c:idx val="0"/>
          <c:order val="0"/>
          <c:tx>
            <c:strRef>
              <c:f>'[2023年统计公报（图表）.xlsx]Sheet1'!$B$21</c:f>
              <c:strCache>
                <c:ptCount val="1"/>
                <c:pt idx="0">
                  <c:v>第一产业</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'[2023年统计公报（图表）.xlsx]Sheet1'!$A$22:$A$26</c:f>
              <c:numCache>
                <c:formatCode>General</c:formatCode>
                <c:ptCount val="5"/>
                <c:pt idx="0">
                  <c:v>2018</c:v>
                </c:pt>
                <c:pt idx="1">
                  <c:v>2019</c:v>
                </c:pt>
                <c:pt idx="2">
                  <c:v>2020</c:v>
                </c:pt>
                <c:pt idx="3">
                  <c:v>2021</c:v>
                </c:pt>
                <c:pt idx="4">
                  <c:v>2022</c:v>
                </c:pt>
              </c:numCache>
            </c:numRef>
          </c:cat>
          <c:val>
            <c:numRef>
              <c:f>'[2023年统计公报（图表）.xlsx]Sheet1'!$B$22:$B$26</c:f>
              <c:numCache>
                <c:formatCode>General</c:formatCode>
                <c:ptCount val="5"/>
                <c:pt idx="0">
                  <c:v>0.6</c:v>
                </c:pt>
                <c:pt idx="1">
                  <c:v>0.5</c:v>
                </c:pt>
                <c:pt idx="2">
                  <c:v>0.5</c:v>
                </c:pt>
                <c:pt idx="3">
                  <c:v>0.4</c:v>
                </c:pt>
                <c:pt idx="4">
                  <c:v>0.4</c:v>
                </c:pt>
              </c:numCache>
            </c:numRef>
          </c:val>
        </c:ser>
        <c:ser>
          <c:idx val="1"/>
          <c:order val="1"/>
          <c:tx>
            <c:strRef>
              <c:f>'[2023年统计公报（图表）.xlsx]Sheet1'!$C$21</c:f>
              <c:strCache>
                <c:ptCount val="1"/>
                <c:pt idx="0">
                  <c:v>第二产业</c:v>
                </c:pt>
              </c:strCache>
            </c:strRef>
          </c:tx>
          <c:spPr>
            <a:solidFill>
              <a:schemeClr val="accent2"/>
            </a:solidFill>
            <a:ln>
              <a:noFill/>
            </a:ln>
            <a:effectLst/>
          </c:spPr>
          <c:invertIfNegative val="false"/>
          <c:dPt>
            <c:idx val="3"/>
            <c:invertIfNegative val="false"/>
            <c:bubble3D val="false"/>
            <c:spPr>
              <a:solidFill>
                <a:schemeClr val="accent2"/>
              </a:solidFill>
              <a:ln>
                <a:solidFill>
                  <a:schemeClr val="accent2"/>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'[2023年统计公报（图表）.xlsx]Sheet1'!$A$22:$A$26</c:f>
              <c:numCache>
                <c:formatCode>General</c:formatCode>
                <c:ptCount val="5"/>
                <c:pt idx="0">
                  <c:v>2018</c:v>
                </c:pt>
                <c:pt idx="1">
                  <c:v>2019</c:v>
                </c:pt>
                <c:pt idx="2">
                  <c:v>2020</c:v>
                </c:pt>
                <c:pt idx="3">
                  <c:v>2021</c:v>
                </c:pt>
                <c:pt idx="4">
                  <c:v>2022</c:v>
                </c:pt>
              </c:numCache>
            </c:numRef>
          </c:cat>
          <c:val>
            <c:numRef>
              <c:f>'[2023年统计公报（图表）.xlsx]Sheet1'!$C$22:$C$26</c:f>
              <c:numCache>
                <c:formatCode>General</c:formatCode>
                <c:ptCount val="5"/>
                <c:pt idx="0">
                  <c:v>69.8</c:v>
                </c:pt>
                <c:pt idx="1">
                  <c:v>70.4</c:v>
                </c:pt>
                <c:pt idx="2">
                  <c:v>73.6</c:v>
                </c:pt>
                <c:pt idx="3">
                  <c:v>74.6</c:v>
                </c:pt>
                <c:pt idx="4">
                  <c:v>75.7</c:v>
                </c:pt>
              </c:numCache>
            </c:numRef>
          </c:val>
        </c:ser>
        <c:ser>
          <c:idx val="2"/>
          <c:order val="2"/>
          <c:tx>
            <c:strRef>
              <c:f>'[2023年统计公报（图表）.xlsx]Sheet1'!$D$21</c:f>
              <c:strCache>
                <c:ptCount val="1"/>
                <c:pt idx="0">
                  <c:v>第三产业</c:v>
                </c:pt>
              </c:strCache>
            </c:strRef>
          </c:tx>
          <c:spPr>
            <a:solidFill>
              <a:schemeClr val="accent4">
                <a:lumMod val="60000"/>
                <a:lumOff val="4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'[2023年统计公报（图表）.xlsx]Sheet1'!$A$22:$A$26</c:f>
              <c:numCache>
                <c:formatCode>General</c:formatCode>
                <c:ptCount val="5"/>
                <c:pt idx="0">
                  <c:v>2018</c:v>
                </c:pt>
                <c:pt idx="1">
                  <c:v>2019</c:v>
                </c:pt>
                <c:pt idx="2">
                  <c:v>2020</c:v>
                </c:pt>
                <c:pt idx="3">
                  <c:v>2021</c:v>
                </c:pt>
                <c:pt idx="4">
                  <c:v>2022</c:v>
                </c:pt>
              </c:numCache>
            </c:numRef>
          </c:cat>
          <c:val>
            <c:numRef>
              <c:f>'[2023年统计公报（图表）.xlsx]Sheet1'!$D$22:$D$26</c:f>
              <c:numCache>
                <c:formatCode>General</c:formatCode>
                <c:ptCount val="5"/>
                <c:pt idx="0">
                  <c:v>29.6</c:v>
                </c:pt>
                <c:pt idx="1">
                  <c:v>29.1</c:v>
                </c:pt>
                <c:pt idx="2">
                  <c:v>25.9</c:v>
                </c:pt>
                <c:pt idx="3" c:formatCode="0.0_ ">
                  <c:v>25</c:v>
                </c:pt>
                <c:pt idx="4">
                  <c:v>23.9</c:v>
                </c:pt>
              </c:numCache>
            </c:numRef>
          </c:val>
        </c:ser>
        <c:dLbls>
          <c:showLegendKey val="false"/>
          <c:showVal val="true"/>
          <c:showCatName val="false"/>
          <c:showSerName val="false"/>
          <c:showPercent val="false"/>
          <c:showBubbleSize val="false"/>
        </c:dLbls>
        <c:gapWidth val="150"/>
        <c:overlap val="100"/>
        <c:axId val="657398009"/>
        <c:axId val="694465143"/>
      </c:barChart>
      <c:catAx>
        <c:axId val="657398009"/>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solidFill>
                    <a:latin typeface="+mn-lt"/>
                    <a:ea typeface="+mn-ea"/>
                    <a:cs typeface="+mn-cs"/>
                  </a:defRPr>
                </a:pPr>
                <a:r>
                  <a:rPr lang="en-US" altLang="zh-CN"/>
                  <a:t>%</a:t>
                </a:r>
                <a:endParaRPr lang="en-US" altLang="zh-CN"/>
              </a:p>
            </c:rich>
          </c:tx>
          <c:layout>
            <c:manualLayout>
              <c:xMode val="edge"/>
              <c:yMode val="edge"/>
              <c:x val="0.0232811594202899"/>
              <c:y val="0.0866434378629501"/>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694465143"/>
        <c:crosses val="autoZero"/>
        <c:auto val="true"/>
        <c:lblAlgn val="ctr"/>
        <c:lblOffset val="100"/>
        <c:noMultiLvlLbl val="false"/>
      </c:catAx>
      <c:valAx>
        <c:axId val="69446514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657398009"/>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ayout>
        <c:manualLayout>
          <c:xMode val="edge"/>
          <c:yMode val="edge"/>
          <c:x val="0.342666666666667"/>
          <c:y val="0.894773519163763"/>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图</a:t>
            </a:r>
            <a:r>
              <a:rPr lang="en-US" altLang="zh-CN">
                <a:solidFill>
                  <a:schemeClr val="tx1"/>
                </a:solidFill>
              </a:rPr>
              <a:t>3  2018-2022</a:t>
            </a:r>
            <a:r>
              <a:rPr altLang="en-US">
                <a:solidFill>
                  <a:schemeClr val="tx1"/>
                </a:solidFill>
              </a:rPr>
              <a:t>年中站区常住人口城镇化率</a:t>
            </a:r>
            <a:endParaRPr altLang="en-US">
              <a:solidFill>
                <a:schemeClr val="tx1"/>
              </a:solidFill>
            </a:endParaRPr>
          </a:p>
        </c:rich>
      </c:tx>
      <c:layout/>
      <c:overlay val="false"/>
      <c:spPr>
        <a:noFill/>
        <a:ln>
          <a:noFill/>
        </a:ln>
        <a:effectLst/>
      </c:spPr>
    </c:title>
    <c:autoTitleDeleted val="false"/>
    <c:plotArea>
      <c:layout/>
      <c:lineChart>
        <c:grouping val="standard"/>
        <c:varyColors val="false"/>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'[2023年统计公报（图表）.xlsx]Sheet1'!$A$38:$A$42</c:f>
              <c:numCache>
                <c:formatCode>General</c:formatCode>
                <c:ptCount val="5"/>
                <c:pt idx="0">
                  <c:v>2018</c:v>
                </c:pt>
                <c:pt idx="1">
                  <c:v>2019</c:v>
                </c:pt>
                <c:pt idx="2">
                  <c:v>2020</c:v>
                </c:pt>
                <c:pt idx="3">
                  <c:v>2021</c:v>
                </c:pt>
                <c:pt idx="4">
                  <c:v>2022</c:v>
                </c:pt>
              </c:numCache>
            </c:numRef>
          </c:cat>
          <c:val>
            <c:numRef>
              <c:f>'[2023年统计公报（图表）.xlsx]Sheet1'!$B$38:$B$42</c:f>
              <c:numCache>
                <c:formatCode>0.00_ </c:formatCode>
                <c:ptCount val="5"/>
                <c:pt idx="0">
                  <c:v>74.98</c:v>
                </c:pt>
                <c:pt idx="1">
                  <c:v>76.95</c:v>
                </c:pt>
                <c:pt idx="2">
                  <c:v>78.42</c:v>
                </c:pt>
                <c:pt idx="3" c:formatCode="General">
                  <c:v>78.73</c:v>
                </c:pt>
                <c:pt idx="4" c:formatCode="General">
                  <c:v>79.04</c:v>
                </c:pt>
              </c:numCache>
            </c:numRef>
          </c:val>
          <c:smooth val="false"/>
        </c:ser>
        <c:dLbls>
          <c:showLegendKey val="false"/>
          <c:showVal val="true"/>
          <c:showCatName val="false"/>
          <c:showSerName val="false"/>
          <c:showPercent val="false"/>
          <c:showBubbleSize val="false"/>
        </c:dLbls>
        <c:marker val="true"/>
        <c:smooth val="false"/>
        <c:axId val="90890122"/>
        <c:axId val="896145788"/>
      </c:lineChart>
      <c:catAx>
        <c:axId val="90890122"/>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027066450567261"/>
              <c:y val="0.0577953856909811"/>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96145788"/>
        <c:crosses val="autoZero"/>
        <c:auto val="true"/>
        <c:lblAlgn val="ctr"/>
        <c:lblOffset val="100"/>
        <c:noMultiLvlLbl val="false"/>
      </c:catAx>
      <c:valAx>
        <c:axId val="896145788"/>
        <c:scaling>
          <c:orientation val="minMax"/>
        </c:scaling>
        <c:delete val="false"/>
        <c:axPos val="l"/>
        <c:majorGridlines>
          <c:spPr>
            <a:ln w="9525" cap="flat" cmpd="sng" algn="ctr">
              <a:solidFill>
                <a:schemeClr val="tx1">
                  <a:lumMod val="15000"/>
                  <a:lumOff val="85000"/>
                </a:schemeClr>
              </a:solidFill>
              <a:round/>
            </a:ln>
            <a:effectLst/>
          </c:spPr>
        </c:majorGridlines>
        <c:numFmt formatCode="0.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89012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4  2018-2022</a:t>
            </a:r>
            <a:r>
              <a:rPr altLang="en-US">
                <a:solidFill>
                  <a:schemeClr val="tx1"/>
                </a:solidFill>
              </a:rPr>
              <a:t>年中站区城镇新增就业人数</a:t>
            </a:r>
            <a:r>
              <a:rPr lang="en-US" altLang="zh-CN">
                <a:solidFill>
                  <a:schemeClr val="tx1"/>
                </a:solidFill>
              </a:rPr>
              <a:t>  </a:t>
            </a:r>
            <a:endParaRPr lang="en-US" altLang="zh-CN">
              <a:solidFill>
                <a:schemeClr val="tx1"/>
              </a:solidFill>
            </a:endParaRPr>
          </a:p>
        </c:rich>
      </c:tx>
      <c:layout/>
      <c:overlay val="false"/>
      <c:spPr>
        <a:noFill/>
        <a:ln>
          <a:noFill/>
        </a:ln>
        <a:effectLst/>
      </c:spPr>
    </c:title>
    <c:autoTitleDeleted val="false"/>
    <c:plotArea>
      <c:layout>
        <c:manualLayout>
          <c:layoutTarget val="inner"/>
          <c:xMode val="edge"/>
          <c:yMode val="edge"/>
          <c:x val="0.0733885068189766"/>
          <c:y val="0.175084175084175"/>
          <c:w val="0.900967478727124"/>
          <c:h val="0.701459034792368"/>
        </c:manualLayout>
      </c:layout>
      <c:barChart>
        <c:barDir val="col"/>
        <c:grouping val="clustered"/>
        <c:varyColors val="false"/>
        <c:ser>
          <c:idx val="1"/>
          <c:order val="0"/>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'[2023年统计公报（图表）.xlsx]Sheet1'!$A$56:$A$60</c:f>
              <c:numCache>
                <c:formatCode>General</c:formatCode>
                <c:ptCount val="5"/>
                <c:pt idx="0">
                  <c:v>2018</c:v>
                </c:pt>
                <c:pt idx="1">
                  <c:v>2019</c:v>
                </c:pt>
                <c:pt idx="2">
                  <c:v>2020</c:v>
                </c:pt>
                <c:pt idx="3">
                  <c:v>2021</c:v>
                </c:pt>
                <c:pt idx="4">
                  <c:v>2022</c:v>
                </c:pt>
              </c:numCache>
            </c:numRef>
          </c:cat>
          <c:val>
            <c:numRef>
              <c:f>'[2023年统计公报（图表）.xlsx]Sheet1'!$B$56:$B$60</c:f>
              <c:numCache>
                <c:formatCode>General</c:formatCode>
                <c:ptCount val="5"/>
                <c:pt idx="0">
                  <c:v>4337</c:v>
                </c:pt>
                <c:pt idx="1">
                  <c:v>4127</c:v>
                </c:pt>
                <c:pt idx="2">
                  <c:v>4311</c:v>
                </c:pt>
                <c:pt idx="3">
                  <c:v>3756</c:v>
                </c:pt>
                <c:pt idx="4">
                  <c:v>4076</c:v>
                </c:pt>
              </c:numCache>
            </c:numRef>
          </c:val>
        </c:ser>
        <c:dLbls>
          <c:showLegendKey val="false"/>
          <c:showVal val="true"/>
          <c:showCatName val="false"/>
          <c:showSerName val="false"/>
          <c:showPercent val="false"/>
          <c:showBubbleSize val="false"/>
        </c:dLbls>
        <c:gapWidth val="219"/>
        <c:overlap val="-27"/>
        <c:axId val="204415859"/>
        <c:axId val="726736916"/>
      </c:barChart>
      <c:catAx>
        <c:axId val="204415859"/>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    </a:t>
                </a:r>
                <a:r>
                  <a:t>人</a:t>
                </a:r>
              </a:p>
            </c:rich>
          </c:tx>
          <c:layout>
            <c:manualLayout>
              <c:xMode val="edge"/>
              <c:yMode val="edge"/>
              <c:x val="0.00349691106189533"/>
              <c:y val="0.0648709315375982"/>
            </c:manualLayout>
          </c:layout>
          <c:overlay val="false"/>
          <c:spPr>
            <a:noFill/>
            <a:ln>
              <a:noFill/>
            </a:ln>
            <a:effectLst/>
          </c:spPr>
        </c:title>
        <c:numFmt formatCode="General" sourceLinked="fals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26736916"/>
        <c:crosses val="autoZero"/>
        <c:auto val="true"/>
        <c:lblAlgn val="ctr"/>
        <c:lblOffset val="100"/>
        <c:noMultiLvlLbl val="false"/>
      </c:catAx>
      <c:valAx>
        <c:axId val="72673691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441585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图</a:t>
            </a:r>
            <a:r>
              <a:rPr lang="en-US" altLang="zh-CN">
                <a:solidFill>
                  <a:schemeClr val="tx1"/>
                </a:solidFill>
              </a:rPr>
              <a:t>5  2018-2022</a:t>
            </a:r>
            <a:r>
              <a:rPr altLang="en-US">
                <a:solidFill>
                  <a:schemeClr val="tx1"/>
                </a:solidFill>
              </a:rPr>
              <a:t>年中站区粮食产量</a:t>
            </a:r>
            <a:endParaRPr altLang="en-US">
              <a:solidFill>
                <a:schemeClr val="tx1"/>
              </a:solidFill>
            </a:endParaRPr>
          </a:p>
        </c:rich>
      </c:tx>
      <c:layout/>
      <c:overlay val="false"/>
      <c:spPr>
        <a:noFill/>
        <a:ln>
          <a:noFill/>
        </a:ln>
        <a:effectLst/>
      </c:spPr>
    </c:title>
    <c:autoTitleDeleted val="false"/>
    <c:plotArea>
      <c:layout>
        <c:manualLayout>
          <c:layoutTarget val="inner"/>
          <c:xMode val="edge"/>
          <c:yMode val="edge"/>
          <c:x val="0.0834027777777778"/>
          <c:y val="0.171140939597315"/>
          <c:w val="0.891134259259259"/>
          <c:h val="0.714854586129754"/>
        </c:manualLayout>
      </c:layout>
      <c:barChart>
        <c:barDir val="col"/>
        <c:grouping val="clustered"/>
        <c:varyColors val="false"/>
        <c:ser>
          <c:idx val="0"/>
          <c:order val="0"/>
          <c:spPr>
            <a:solidFill>
              <a:schemeClr val="accent1"/>
            </a:solidFill>
            <a:ln>
              <a:noFill/>
            </a:ln>
            <a:effectLst/>
          </c:spPr>
          <c:invertIfNegative val="false"/>
          <c:dPt>
            <c:idx val="0"/>
            <c:invertIfNegative val="false"/>
            <c:bubble3D val="false"/>
            <c:spPr>
              <a:solidFill>
                <a:schemeClr val="accent2"/>
              </a:solidFill>
              <a:ln>
                <a:noFill/>
              </a:ln>
              <a:effectLst/>
            </c:spPr>
          </c:dPt>
          <c:dPt>
            <c:idx val="1"/>
            <c:invertIfNegative val="false"/>
            <c:bubble3D val="false"/>
            <c:spPr>
              <a:solidFill>
                <a:schemeClr val="accent2"/>
              </a:solidFill>
              <a:ln>
                <a:noFill/>
              </a:ln>
              <a:effectLst/>
            </c:spPr>
          </c:dPt>
          <c:dPt>
            <c:idx val="2"/>
            <c:invertIfNegative val="false"/>
            <c:bubble3D val="false"/>
            <c:spPr>
              <a:solidFill>
                <a:schemeClr val="accent2"/>
              </a:solidFill>
              <a:ln>
                <a:noFill/>
              </a:ln>
              <a:effectLst/>
            </c:spPr>
          </c:dPt>
          <c:dPt>
            <c:idx val="3"/>
            <c:invertIfNegative val="false"/>
            <c:bubble3D val="false"/>
            <c:spPr>
              <a:solidFill>
                <a:schemeClr val="accent2"/>
              </a:solidFill>
              <a:ln>
                <a:noFill/>
              </a:ln>
              <a:effectLst/>
            </c:spPr>
          </c:dPt>
          <c:dPt>
            <c:idx val="4"/>
            <c:invertIfNegative val="false"/>
            <c:bubble3D val="false"/>
            <c:spPr>
              <a:solidFill>
                <a:schemeClr val="accent2"/>
              </a:solidFill>
              <a:ln>
                <a:noFill/>
              </a:ln>
              <a:effectLst/>
            </c:spPr>
          </c:dPt>
          <c:dLbls>
            <c:dLbl>
              <c:idx val="0"/>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2"/>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3"/>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4"/>
              <c:layout/>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'[2023年统计公报（图表）.xlsx]Sheet1'!$A$75:$A$79</c:f>
              <c:numCache>
                <c:formatCode>General</c:formatCode>
                <c:ptCount val="5"/>
                <c:pt idx="0">
                  <c:v>2018</c:v>
                </c:pt>
                <c:pt idx="1">
                  <c:v>2019</c:v>
                </c:pt>
                <c:pt idx="2">
                  <c:v>2020</c:v>
                </c:pt>
                <c:pt idx="3">
                  <c:v>2021</c:v>
                </c:pt>
                <c:pt idx="4">
                  <c:v>2022</c:v>
                </c:pt>
              </c:numCache>
            </c:numRef>
          </c:cat>
          <c:val>
            <c:numRef>
              <c:f>'[2023年统计公报（图表）.xlsx]Sheet1'!$B$75:$B$79</c:f>
              <c:numCache>
                <c:formatCode>General</c:formatCode>
                <c:ptCount val="5"/>
                <c:pt idx="0">
                  <c:v>8243</c:v>
                </c:pt>
                <c:pt idx="1">
                  <c:v>6684</c:v>
                </c:pt>
                <c:pt idx="2">
                  <c:v>6892</c:v>
                </c:pt>
                <c:pt idx="3">
                  <c:v>4777</c:v>
                </c:pt>
                <c:pt idx="4">
                  <c:v>5118.8</c:v>
                </c:pt>
              </c:numCache>
            </c:numRef>
          </c:val>
        </c:ser>
        <c:dLbls>
          <c:showLegendKey val="false"/>
          <c:showVal val="false"/>
          <c:showCatName val="false"/>
          <c:showSerName val="false"/>
          <c:showPercent val="false"/>
          <c:showBubbleSize val="false"/>
        </c:dLbls>
        <c:gapWidth val="219"/>
        <c:overlap val="-27"/>
        <c:axId val="556146806"/>
        <c:axId val="809167357"/>
      </c:barChart>
      <c:catAx>
        <c:axId val="556146806"/>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吨</a:t>
                </a:r>
              </a:p>
            </c:rich>
          </c:tx>
          <c:layout>
            <c:manualLayout>
              <c:xMode val="edge"/>
              <c:yMode val="edge"/>
              <c:x val="0.0228356481481481"/>
              <c:y val="0.048993288590604"/>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9167357"/>
        <c:crosses val="autoZero"/>
        <c:auto val="true"/>
        <c:lblAlgn val="ctr"/>
        <c:lblOffset val="100"/>
        <c:noMultiLvlLbl val="false"/>
      </c:catAx>
      <c:valAx>
        <c:axId val="80916735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5614680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6  2018-2022</a:t>
            </a:r>
            <a:r>
              <a:rPr altLang="en-US">
                <a:solidFill>
                  <a:schemeClr val="tx1"/>
                </a:solidFill>
              </a:rPr>
              <a:t>年中站区规模以上工业增加值增长速度</a:t>
            </a:r>
            <a:r>
              <a:rPr lang="en-US" altLang="zh-CN">
                <a:solidFill>
                  <a:schemeClr val="tx1"/>
                </a:solidFill>
              </a:rPr>
              <a:t>  </a:t>
            </a:r>
            <a:endParaRPr lang="en-US" altLang="zh-CN">
              <a:solidFill>
                <a:schemeClr val="tx1"/>
              </a:solidFill>
            </a:endParaRPr>
          </a:p>
        </c:rich>
      </c:tx>
      <c:layout/>
      <c:overlay val="false"/>
      <c:spPr>
        <a:noFill/>
        <a:ln>
          <a:noFill/>
        </a:ln>
        <a:effectLst/>
      </c:spPr>
    </c:title>
    <c:autoTitleDeleted val="false"/>
    <c:plotArea>
      <c:layout>
        <c:manualLayout>
          <c:layoutTarget val="inner"/>
          <c:xMode val="edge"/>
          <c:yMode val="edge"/>
          <c:x val="0.0788465974625144"/>
          <c:y val="0.181818181818182"/>
          <c:w val="0.900968858131488"/>
          <c:h val="0.700932400932401"/>
        </c:manualLayout>
      </c:layout>
      <c:lineChart>
        <c:grouping val="standard"/>
        <c:varyColors val="false"/>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'[2023年统计公报（图表）.xlsx]Sheet1'!$A$92:$A$96</c:f>
              <c:numCache>
                <c:formatCode>General</c:formatCode>
                <c:ptCount val="5"/>
                <c:pt idx="0">
                  <c:v>2018</c:v>
                </c:pt>
                <c:pt idx="1">
                  <c:v>2019</c:v>
                </c:pt>
                <c:pt idx="2">
                  <c:v>2020</c:v>
                </c:pt>
                <c:pt idx="3">
                  <c:v>2021</c:v>
                </c:pt>
                <c:pt idx="4">
                  <c:v>2022</c:v>
                </c:pt>
              </c:numCache>
            </c:numRef>
          </c:cat>
          <c:val>
            <c:numRef>
              <c:f>'[2023年统计公报（图表）.xlsx]Sheet1'!$B$92:$B$96</c:f>
              <c:numCache>
                <c:formatCode>0.0_ </c:formatCode>
                <c:ptCount val="5"/>
                <c:pt idx="0">
                  <c:v>9.5</c:v>
                </c:pt>
                <c:pt idx="1">
                  <c:v>9</c:v>
                </c:pt>
                <c:pt idx="2">
                  <c:v>-19.7</c:v>
                </c:pt>
                <c:pt idx="3">
                  <c:v>8.5</c:v>
                </c:pt>
                <c:pt idx="4">
                  <c:v>8.5</c:v>
                </c:pt>
              </c:numCache>
            </c:numRef>
          </c:val>
          <c:smooth val="false"/>
        </c:ser>
        <c:dLbls>
          <c:showLegendKey val="false"/>
          <c:showVal val="true"/>
          <c:showCatName val="false"/>
          <c:showSerName val="false"/>
          <c:showPercent val="false"/>
          <c:showBubbleSize val="false"/>
        </c:dLbls>
        <c:marker val="true"/>
        <c:smooth val="false"/>
        <c:axId val="994150767"/>
        <c:axId val="854222329"/>
      </c:lineChart>
      <c:catAx>
        <c:axId val="994150767"/>
        <c:scaling>
          <c:orientation val="minMax"/>
        </c:scaling>
        <c:delete val="false"/>
        <c:axPos val="b"/>
        <c:majorTickMark val="out"/>
        <c:minorTickMark val="none"/>
        <c:tickLblPos val="low"/>
        <c:spPr>
          <a:noFill/>
          <a:ln w="9525" cap="flat" cmpd="sng" algn="ctr">
            <a:solidFill>
              <a:schemeClr val="tx1">
                <a:lumMod val="15000"/>
                <a:lumOff val="85000"/>
              </a:schemeClr>
            </a:solidFill>
            <a:round/>
          </a:ln>
          <a:effectLst/>
        </c:spPr>
        <c:txPr>
          <a:bodyPr rot="0" spcFirstLastPara="0" vertOverflow="ellipsis" vert="horz" wrap="square" anchor="b" anchorCtr="true"/>
          <a:lstStyle/>
          <a:p>
            <a:pPr>
              <a:defRPr lang="zh-CN" sz="900" b="0" i="0" u="none" strike="noStrike" kern="1200" baseline="0">
                <a:solidFill>
                  <a:schemeClr val="tx1"/>
                </a:solidFill>
                <a:latin typeface="+mn-lt"/>
                <a:ea typeface="+mn-ea"/>
                <a:cs typeface="+mn-cs"/>
              </a:defRPr>
            </a:pPr>
          </a:p>
        </c:txPr>
        <c:crossAx val="854222329"/>
        <c:crosses val="autoZero"/>
        <c:auto val="true"/>
        <c:lblAlgn val="ctr"/>
        <c:lblOffset val="100"/>
        <c:noMultiLvlLbl val="false"/>
      </c:catAx>
      <c:valAx>
        <c:axId val="854222329"/>
        <c:scaling>
          <c:orientation val="minMax"/>
        </c:scaling>
        <c:delete val="false"/>
        <c:axPos val="l"/>
        <c:majorGridlines>
          <c:spPr>
            <a:ln w="9525" cap="flat" cmpd="sng" algn="ctr">
              <a:solidFill>
                <a:schemeClr val="tx1">
                  <a:lumMod val="15000"/>
                  <a:lumOff val="85000"/>
                </a:schemeClr>
              </a:solidFill>
              <a:round/>
            </a:ln>
            <a:effectLst/>
          </c:spPr>
        </c:majorGridlines>
        <c:numFmt formatCode="0.0_ "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crossAx val="99415076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图</a:t>
            </a:r>
            <a:r>
              <a:rPr lang="en-US" altLang="zh-CN">
                <a:solidFill>
                  <a:schemeClr val="tx1"/>
                </a:solidFill>
              </a:rPr>
              <a:t>7  2018-2022</a:t>
            </a:r>
            <a:r>
              <a:rPr altLang="en-US">
                <a:solidFill>
                  <a:schemeClr val="tx1"/>
                </a:solidFill>
              </a:rPr>
              <a:t>年中站区固定资产投资增长速度</a:t>
            </a:r>
            <a:endParaRPr altLang="en-US">
              <a:solidFill>
                <a:schemeClr val="tx1"/>
              </a:solidFill>
            </a:endParaRPr>
          </a:p>
        </c:rich>
      </c:tx>
      <c:layout/>
      <c:overlay val="false"/>
      <c:spPr>
        <a:noFill/>
        <a:ln>
          <a:noFill/>
        </a:ln>
        <a:effectLst/>
      </c:spPr>
    </c:title>
    <c:autoTitleDeleted val="false"/>
    <c:plotArea>
      <c:layout>
        <c:manualLayout>
          <c:layoutTarget val="inner"/>
          <c:xMode val="edge"/>
          <c:yMode val="edge"/>
          <c:x val="0.0677816492450639"/>
          <c:y val="0.177700348432056"/>
          <c:w val="0.906666666666667"/>
          <c:h val="0.71205574912892"/>
        </c:manualLayout>
      </c:layout>
      <c:lineChart>
        <c:grouping val="standard"/>
        <c:varyColors val="false"/>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'[2023年统计公报（图表）.xlsx]Sheet1'!$A$115:$A$119</c:f>
              <c:numCache>
                <c:formatCode>General</c:formatCode>
                <c:ptCount val="5"/>
                <c:pt idx="0">
                  <c:v>2018</c:v>
                </c:pt>
                <c:pt idx="1">
                  <c:v>2019</c:v>
                </c:pt>
                <c:pt idx="2">
                  <c:v>2020</c:v>
                </c:pt>
                <c:pt idx="3">
                  <c:v>2021</c:v>
                </c:pt>
                <c:pt idx="4">
                  <c:v>2022</c:v>
                </c:pt>
              </c:numCache>
            </c:numRef>
          </c:cat>
          <c:val>
            <c:numRef>
              <c:f>'[2023年统计公报（图表）.xlsx]Sheet1'!$B$115:$B$119</c:f>
              <c:numCache>
                <c:formatCode>0.0_ </c:formatCode>
                <c:ptCount val="5"/>
                <c:pt idx="0">
                  <c:v>39.4</c:v>
                </c:pt>
                <c:pt idx="1">
                  <c:v>12.9</c:v>
                </c:pt>
                <c:pt idx="2">
                  <c:v>4.9</c:v>
                </c:pt>
                <c:pt idx="3">
                  <c:v>14.8</c:v>
                </c:pt>
                <c:pt idx="4">
                  <c:v>14.9</c:v>
                </c:pt>
              </c:numCache>
            </c:numRef>
          </c:val>
          <c:smooth val="false"/>
        </c:ser>
        <c:dLbls>
          <c:showLegendKey val="false"/>
          <c:showVal val="true"/>
          <c:showCatName val="false"/>
          <c:showSerName val="false"/>
          <c:showPercent val="false"/>
          <c:showBubbleSize val="false"/>
        </c:dLbls>
        <c:marker val="true"/>
        <c:smooth val="false"/>
        <c:axId val="964358121"/>
        <c:axId val="770465730"/>
      </c:lineChart>
      <c:catAx>
        <c:axId val="964358121"/>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0202439024390244"/>
              <c:y val="0.0713124274099884"/>
            </c:manualLayout>
          </c:layout>
          <c:overlay val="false"/>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70465730"/>
        <c:crosses val="autoZero"/>
        <c:auto val="true"/>
        <c:lblAlgn val="ctr"/>
        <c:lblOffset val="100"/>
        <c:noMultiLvlLbl val="false"/>
      </c:catAx>
      <c:valAx>
        <c:axId val="770465730"/>
        <c:scaling>
          <c:orientation val="minMax"/>
        </c:scaling>
        <c:delete val="false"/>
        <c:axPos val="l"/>
        <c:majorGridlines>
          <c:spPr>
            <a:ln w="9525" cap="flat" cmpd="sng" algn="ctr">
              <a:solidFill>
                <a:schemeClr val="tx1">
                  <a:lumMod val="15000"/>
                  <a:lumOff val="85000"/>
                </a:schemeClr>
              </a:solidFill>
              <a:round/>
            </a:ln>
            <a:effectLst/>
          </c:spPr>
        </c:majorGridlines>
        <c:numFmt formatCode="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6435812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8  2022</a:t>
            </a:r>
            <a:r>
              <a:rPr altLang="en-US">
                <a:solidFill>
                  <a:schemeClr val="tx1"/>
                </a:solidFill>
              </a:rPr>
              <a:t>年中站区三次产业投资占固定资产投资比重</a:t>
            </a:r>
            <a:endParaRPr altLang="en-US">
              <a:solidFill>
                <a:schemeClr val="tx1"/>
              </a:solidFill>
            </a:endParaRP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4">
                  <a:lumMod val="60000"/>
                  <a:lumOff val="40000"/>
                </a:schemeClr>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solidFill>
                        <a:latin typeface="+mn-lt"/>
                        <a:ea typeface="+mn-ea"/>
                        <a:cs typeface="+mn-cs"/>
                      </a:defRPr>
                    </a:pPr>
                    <a:r>
                      <a:t>第一产业0</a:t>
                    </a:r>
                    <a:r>
                      <a:rPr lang="en-US" altLang="zh-CN"/>
                      <a:t>.1</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solidFill>
                        <a:latin typeface="+mn-lt"/>
                        <a:ea typeface="+mn-ea"/>
                        <a:cs typeface="+mn-cs"/>
                      </a:defRPr>
                    </a:pPr>
                    <a:r>
                      <a:t>第二产业</a:t>
                    </a:r>
                  </a:p>
                  <a:p>
                    <a:pPr defTabSz="914400">
                      <a:defRPr lang="zh-CN" sz="900" b="0" i="0" u="none" strike="noStrike" kern="1200" baseline="0">
                        <a:solidFill>
                          <a:schemeClr val="tx1"/>
                        </a:solidFill>
                        <a:latin typeface="+mn-lt"/>
                        <a:ea typeface="+mn-ea"/>
                        <a:cs typeface="+mn-cs"/>
                      </a:defRPr>
                    </a:pPr>
                    <a:r>
                      <a:rPr lang="en-US" altLang="zh-CN"/>
                      <a:t>79.0</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solidFill>
                        <a:latin typeface="+mn-lt"/>
                        <a:ea typeface="+mn-ea"/>
                        <a:cs typeface="+mn-cs"/>
                      </a:defRPr>
                    </a:pPr>
                    <a:r>
                      <a:t>第三产业2</a:t>
                    </a:r>
                    <a:r>
                      <a:rPr lang="en-US" altLang="zh-CN"/>
                      <a:t>0.9</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'[2023年统计公报（图表）.xlsx]Sheet1'!$A$130:$A$132</c:f>
              <c:strCache>
                <c:ptCount val="3"/>
                <c:pt idx="0">
                  <c:v>第一产业</c:v>
                </c:pt>
                <c:pt idx="1">
                  <c:v>第二产业</c:v>
                </c:pt>
                <c:pt idx="2">
                  <c:v>第三产业</c:v>
                </c:pt>
              </c:strCache>
            </c:strRef>
          </c:cat>
          <c:val>
            <c:numRef>
              <c:f>'[2023年统计公报（图表）.xlsx]Sheet1'!$B$130:$B$132</c:f>
              <c:numCache>
                <c:formatCode>General</c:formatCode>
                <c:ptCount val="3"/>
                <c:pt idx="0">
                  <c:v>0.5</c:v>
                </c:pt>
                <c:pt idx="1">
                  <c:v>77.6</c:v>
                </c:pt>
                <c:pt idx="2">
                  <c:v>21.9</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false"/>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图</a:t>
            </a:r>
            <a:r>
              <a:rPr lang="en-US" altLang="zh-CN">
                <a:solidFill>
                  <a:schemeClr val="tx1"/>
                </a:solidFill>
              </a:rPr>
              <a:t>9  2018-2022</a:t>
            </a:r>
            <a:r>
              <a:rPr altLang="en-US">
                <a:solidFill>
                  <a:schemeClr val="tx1"/>
                </a:solidFill>
              </a:rPr>
              <a:t>年中站区社会消费品零售总额及其增长速度</a:t>
            </a:r>
            <a:endParaRPr altLang="en-US">
              <a:solidFill>
                <a:schemeClr val="tx1"/>
              </a:solidFill>
            </a:endParaRPr>
          </a:p>
        </c:rich>
      </c:tx>
      <c:layout>
        <c:manualLayout>
          <c:xMode val="edge"/>
          <c:yMode val="edge"/>
          <c:x val="0.118260869565217"/>
          <c:y val="0.00662105495475612"/>
        </c:manualLayout>
      </c:layout>
      <c:overlay val="false"/>
      <c:spPr>
        <a:noFill/>
        <a:ln>
          <a:noFill/>
        </a:ln>
        <a:effectLst/>
      </c:spPr>
    </c:title>
    <c:autoTitleDeleted val="false"/>
    <c:plotArea>
      <c:layout>
        <c:manualLayout>
          <c:layoutTarget val="inner"/>
          <c:xMode val="edge"/>
          <c:yMode val="edge"/>
          <c:x val="0.0501565217391304"/>
          <c:y val="0.184727433237696"/>
          <c:w val="0.874063768115942"/>
          <c:h val="0.639461487530346"/>
        </c:manualLayout>
      </c:layout>
      <c:barChart>
        <c:barDir val="col"/>
        <c:grouping val="clustered"/>
        <c:varyColors val="false"/>
        <c:ser>
          <c:idx val="0"/>
          <c:order val="0"/>
          <c:tx>
            <c:strRef>
              <c:f>'[2023年统计公报（图表）.xlsx]Sheet1'!$B$148</c:f>
              <c:strCache>
                <c:ptCount val="1"/>
                <c:pt idx="0">
                  <c:v>社会消费品零售总额</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'[2023年统计公报（图表）.xlsx]Sheet1'!$A$149:$A$153</c:f>
              <c:numCache>
                <c:formatCode>General</c:formatCode>
                <c:ptCount val="5"/>
                <c:pt idx="0">
                  <c:v>2018</c:v>
                </c:pt>
                <c:pt idx="1">
                  <c:v>2019</c:v>
                </c:pt>
                <c:pt idx="2">
                  <c:v>2020</c:v>
                </c:pt>
                <c:pt idx="3">
                  <c:v>2021</c:v>
                </c:pt>
                <c:pt idx="4">
                  <c:v>2022</c:v>
                </c:pt>
              </c:numCache>
            </c:numRef>
          </c:cat>
          <c:val>
            <c:numRef>
              <c:f>'[2023年统计公报（图表）.xlsx]Sheet1'!$B$149:$B$153</c:f>
              <c:numCache>
                <c:formatCode>0.0_ </c:formatCode>
                <c:ptCount val="5"/>
                <c:pt idx="0">
                  <c:v>28.4</c:v>
                </c:pt>
                <c:pt idx="1">
                  <c:v>31.5</c:v>
                </c:pt>
                <c:pt idx="2">
                  <c:v>28.7</c:v>
                </c:pt>
                <c:pt idx="3">
                  <c:v>30.2</c:v>
                </c:pt>
                <c:pt idx="4">
                  <c:v>30.7</c:v>
                </c:pt>
              </c:numCache>
            </c:numRef>
          </c:val>
        </c:ser>
        <c:dLbls>
          <c:showLegendKey val="false"/>
          <c:showVal val="true"/>
          <c:showCatName val="false"/>
          <c:showSerName val="false"/>
          <c:showPercent val="false"/>
          <c:showBubbleSize val="false"/>
        </c:dLbls>
        <c:gapWidth val="219"/>
        <c:overlap val="-27"/>
        <c:axId val="966923619"/>
        <c:axId val="325179251"/>
      </c:barChart>
      <c:lineChart>
        <c:grouping val="standard"/>
        <c:varyColors val="false"/>
        <c:ser>
          <c:idx val="1"/>
          <c:order val="1"/>
          <c:tx>
            <c:strRef>
              <c:f>'[2023年统计公报（图表）.xlsx]Sheet1'!$C$148</c:f>
              <c:strCache>
                <c:ptCount val="1"/>
                <c:pt idx="0">
                  <c:v>比上年增长</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'[2023年统计公报（图表）.xlsx]Sheet1'!$A$149:$A$153</c:f>
              <c:numCache>
                <c:formatCode>General</c:formatCode>
                <c:ptCount val="5"/>
                <c:pt idx="0">
                  <c:v>2018</c:v>
                </c:pt>
                <c:pt idx="1">
                  <c:v>2019</c:v>
                </c:pt>
                <c:pt idx="2">
                  <c:v>2020</c:v>
                </c:pt>
                <c:pt idx="3">
                  <c:v>2021</c:v>
                </c:pt>
                <c:pt idx="4">
                  <c:v>2022</c:v>
                </c:pt>
              </c:numCache>
            </c:numRef>
          </c:cat>
          <c:val>
            <c:numRef>
              <c:f>'[2023年统计公报（图表）.xlsx]Sheet1'!$C$149:$C$153</c:f>
              <c:numCache>
                <c:formatCode>General</c:formatCode>
                <c:ptCount val="5"/>
                <c:pt idx="0">
                  <c:v>11</c:v>
                </c:pt>
                <c:pt idx="1">
                  <c:v>11.1</c:v>
                </c:pt>
                <c:pt idx="2">
                  <c:v>-12.1</c:v>
                </c:pt>
                <c:pt idx="3">
                  <c:v>5.4</c:v>
                </c:pt>
                <c:pt idx="4">
                  <c:v>1.7</c:v>
                </c:pt>
              </c:numCache>
            </c:numRef>
          </c:val>
          <c:smooth val="false"/>
        </c:ser>
        <c:dLbls>
          <c:showLegendKey val="false"/>
          <c:showVal val="true"/>
          <c:showCatName val="false"/>
          <c:showSerName val="false"/>
          <c:showPercent val="false"/>
          <c:showBubbleSize val="false"/>
        </c:dLbls>
        <c:marker val="true"/>
        <c:smooth val="false"/>
        <c:axId val="545254956"/>
        <c:axId val="79100076"/>
      </c:lineChart>
      <c:catAx>
        <c:axId val="545254956"/>
        <c:scaling>
          <c:orientation val="minMax"/>
        </c:scaling>
        <c:delete val="fals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亿元</a:t>
                </a:r>
              </a:p>
            </c:rich>
          </c:tx>
          <c:layout>
            <c:manualLayout>
              <c:xMode val="edge"/>
              <c:yMode val="edge"/>
              <c:x val="0.00347826086956522"/>
              <c:y val="0.0790196976637655"/>
            </c:manualLayout>
          </c:layout>
          <c:overlay val="false"/>
          <c:spPr>
            <a:noFill/>
            <a:ln>
              <a:noFill/>
            </a:ln>
            <a:effectLst/>
          </c:spPr>
        </c:title>
        <c:majorTickMark val="none"/>
        <c:minorTickMark val="none"/>
        <c:tickLblPos val="low"/>
        <c:spPr>
          <a:noFill/>
          <a:ln w="9525" cap="rnd" cmpd="sng" algn="ctr">
            <a:solidFill>
              <a:schemeClr val="tx1">
                <a:lumMod val="15000"/>
                <a:lumOff val="85000"/>
              </a:schemeClr>
            </a:solidFill>
            <a:round/>
          </a:ln>
          <a:effectLst/>
        </c:spPr>
        <c:txPr>
          <a:bodyPr rot="-60000000" spcFirstLastPara="0" vertOverflow="ellipsis" vert="horz" wrap="square" anchor="b" anchorCtr="true"/>
          <a:lstStyle/>
          <a:p>
            <a:pPr>
              <a:defRPr lang="zh-CN" sz="900" b="0" i="0" u="none" strike="noStrike" kern="1200" baseline="0">
                <a:solidFill>
                  <a:schemeClr val="tx1">
                    <a:lumMod val="65000"/>
                    <a:lumOff val="35000"/>
                  </a:schemeClr>
                </a:solidFill>
                <a:latin typeface="+mn-lt"/>
                <a:ea typeface="+mn-ea"/>
                <a:cs typeface="+mn-cs"/>
              </a:defRPr>
            </a:pPr>
          </a:p>
        </c:txPr>
        <c:crossAx val="79100076"/>
        <c:crosses val="autoZero"/>
        <c:auto val="true"/>
        <c:lblAlgn val="ctr"/>
        <c:lblOffset val="100"/>
        <c:noMultiLvlLbl val="false"/>
      </c:catAx>
      <c:valAx>
        <c:axId val="7910007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45254956"/>
        <c:crosses val="autoZero"/>
        <c:crossBetween val="between"/>
      </c:valAx>
      <c:catAx>
        <c:axId val="966923619"/>
        <c:scaling>
          <c:orientation val="minMax"/>
        </c:scaling>
        <c:delete val="true"/>
        <c:axPos val="b"/>
        <c:title>
          <c:tx>
            <c:rich>
              <a:bodyPr rot="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94968115942029"/>
              <c:y val="0.0838666960935776"/>
            </c:manualLayout>
          </c:layout>
          <c:overlay val="false"/>
          <c:spPr>
            <a:noFill/>
            <a:ln>
              <a:noFill/>
            </a:ln>
            <a:effectLst/>
          </c:spPr>
        </c:titl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25179251"/>
        <c:crosses val="autoZero"/>
        <c:auto val="true"/>
        <c:lblAlgn val="ctr"/>
        <c:lblOffset val="100"/>
        <c:noMultiLvlLbl val="false"/>
      </c:catAx>
      <c:valAx>
        <c:axId val="325179251"/>
        <c:scaling>
          <c:orientation val="minMax"/>
        </c:scaling>
        <c:delete val="false"/>
        <c:axPos val="r"/>
        <c:numFmt formatCode="0.0_ "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66923619"/>
        <c:crosses val="max"/>
        <c:crossBetween val="between"/>
      </c:valAx>
      <c:spPr>
        <a:noFill/>
        <a:ln>
          <a:noFill/>
        </a:ln>
        <a:effectLst/>
      </c:spPr>
    </c:plotArea>
    <c:legend>
      <c:legendPos val="b"/>
      <c:layout>
        <c:manualLayout>
          <c:xMode val="edge"/>
          <c:yMode val="edge"/>
          <c:x val="0.259130434782609"/>
          <c:y val="0.89349519010536"/>
          <c:w val="0.502608695652174"/>
          <c:h val="0.099633531836921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5362</Words>
  <Characters>6564</Characters>
  <Lines>29</Lines>
  <Paragraphs>8</Paragraphs>
  <TotalTime>2</TotalTime>
  <ScaleCrop>false</ScaleCrop>
  <LinksUpToDate>false</LinksUpToDate>
  <CharactersWithSpaces>6646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2020-05-15T08:43:00Z</dcterms:created>
  <dc:creator>自由快乐雨</dc:creator>
  <cp:lastModifiedBy>zfb001</cp:lastModifiedBy>
  <dcterms:modified xsi:type="dcterms:W3CDTF">2024-01-11T16:11:32Z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92E8ABE4B7DE428E8A44D9AF2F4C2A3E_13</vt:lpwstr>
  </property>
</Properties>
</file>