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黑体" w:hAnsi="黑体" w:eastAsia="黑体"/>
          <w:color w:val="000000"/>
          <w:sz w:val="52"/>
          <w:szCs w:val="52"/>
        </w:rPr>
      </w:pPr>
      <w:r>
        <w:rPr>
          <w:rFonts w:hint="eastAsia" w:ascii="黑体" w:hAnsi="黑体" w:eastAsia="黑体"/>
          <w:color w:val="000000"/>
          <w:sz w:val="52"/>
          <w:szCs w:val="52"/>
        </w:rPr>
        <w:t>焦作市中站区跃进路小学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>2024</w:t>
      </w:r>
      <w:r>
        <w:rPr>
          <w:rFonts w:hint="eastAsia" w:ascii="黑体" w:hAnsi="黑体" w:eastAsia="黑体"/>
          <w:color w:val="000000"/>
          <w:sz w:val="52"/>
          <w:szCs w:val="52"/>
        </w:rPr>
        <w:t>年度</w:t>
      </w:r>
      <w:r>
        <w:rPr>
          <w:rFonts w:hint="eastAsia" w:ascii="黑体" w:hAnsi="黑体" w:eastAsia="黑体"/>
          <w:color w:val="000000"/>
          <w:sz w:val="52"/>
          <w:szCs w:val="52"/>
          <w:lang w:eastAsia="zh-CN"/>
        </w:rPr>
        <w:t>单位</w:t>
      </w:r>
      <w:r>
        <w:rPr>
          <w:rFonts w:hint="eastAsia" w:ascii="黑体" w:hAnsi="黑体" w:eastAsia="黑体"/>
          <w:color w:val="000000"/>
          <w:sz w:val="52"/>
          <w:szCs w:val="52"/>
        </w:rPr>
        <w:t>预算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pStyle w:val="2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pStyle w:val="2"/>
        <w:rPr>
          <w:rFonts w:hint="eastAsia" w:ascii="Times New Roman" w:hAnsi="Times New Roman" w:eastAsia="黑体"/>
          <w:color w:val="000000"/>
          <w:sz w:val="52"/>
          <w:szCs w:val="52"/>
        </w:rPr>
      </w:pP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jc w:val="center"/>
        <w:rPr>
          <w:rFonts w:hint="eastAsia" w:ascii="Times New Roman" w:hAnsi="Times New Roman" w:eastAsia="黑体"/>
          <w:color w:val="000000"/>
          <w:sz w:val="52"/>
          <w:szCs w:val="52"/>
        </w:rPr>
      </w:pPr>
      <w:r>
        <w:rPr>
          <w:rFonts w:hint="eastAsia" w:ascii="Times New Roman" w:hAnsi="Times New Roman" w:eastAsia="黑体"/>
          <w:color w:val="000000"/>
          <w:sz w:val="52"/>
          <w:szCs w:val="52"/>
        </w:rPr>
        <w:t xml:space="preserve"> 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 w:cs="方正小标宋简体"/>
          <w:color w:val="000000"/>
          <w:sz w:val="44"/>
          <w:szCs w:val="44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二</w:t>
      </w:r>
      <w:r>
        <w:rPr>
          <w:rFonts w:hint="eastAsia" w:ascii="Times New Roman" w:hAnsi="Times New Roman" w:eastAsia="黑体" w:cs="方正小标宋简体"/>
          <w:color w:val="000000"/>
          <w:sz w:val="32"/>
          <w:szCs w:val="32"/>
        </w:rPr>
        <w:t>○二四年</w:t>
      </w: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三月</w:t>
      </w:r>
    </w:p>
    <w:p>
      <w:pPr>
        <w:overflowPunct w:val="0"/>
        <w:adjustRightInd w:val="0"/>
        <w:snapToGrid w:val="0"/>
        <w:spacing w:line="550" w:lineRule="exact"/>
        <w:ind w:left="-142" w:right="51" w:firstLine="30" w:firstLineChars="7"/>
        <w:jc w:val="center"/>
        <w:rPr>
          <w:rFonts w:hint="eastAsia" w:ascii="Times New Roman" w:hAnsi="Times New Roman" w:cs="仿宋_GB2312"/>
          <w:color w:val="000000"/>
          <w:sz w:val="44"/>
          <w:szCs w:val="44"/>
        </w:rPr>
      </w:pPr>
      <w:r>
        <w:rPr>
          <w:rFonts w:ascii="Times New Roman" w:hAnsi="Times New Roman" w:cs="仿宋_GB2312"/>
          <w:color w:val="000000"/>
          <w:sz w:val="44"/>
          <w:szCs w:val="44"/>
        </w:rPr>
        <w:br w:type="page"/>
      </w:r>
      <w:r>
        <w:rPr>
          <w:rFonts w:ascii="方正小标宋简体" w:hAnsi="方正小标宋简体" w:cs="仿宋_GB2312"/>
          <w:color w:val="000000"/>
          <w:sz w:val="44"/>
          <w:szCs w:val="44"/>
        </w:rPr>
        <w:t>目</w:t>
      </w:r>
      <w:r>
        <w:rPr>
          <w:rFonts w:ascii="Times New Roman" w:hAnsi="Times New Roman" w:cs="仿宋_GB2312"/>
          <w:color w:val="000000"/>
          <w:sz w:val="44"/>
          <w:szCs w:val="44"/>
        </w:rPr>
        <w:t xml:space="preserve"> </w:t>
      </w:r>
      <w:r>
        <w:rPr>
          <w:rFonts w:ascii="Times New Roman" w:hAnsi="Times New Roman" w:cs="仿宋_GB2312"/>
          <w:color w:val="000000"/>
          <w:spacing w:val="2"/>
          <w:sz w:val="44"/>
          <w:szCs w:val="44"/>
        </w:rPr>
        <w:t xml:space="preserve"> </w:t>
      </w:r>
      <w:r>
        <w:rPr>
          <w:rFonts w:ascii="方正小标宋简体" w:hAnsi="方正小标宋简体" w:cs="仿宋_GB2312"/>
          <w:color w:val="000000"/>
          <w:sz w:val="44"/>
          <w:szCs w:val="44"/>
        </w:rPr>
        <w:t>录</w:t>
      </w: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spacing w:line="550" w:lineRule="exact"/>
        <w:ind w:right="3569" w:firstLine="643" w:firstLineChars="20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第一部分</w:t>
      </w:r>
      <w:r>
        <w:rPr>
          <w:rFonts w:ascii="Times New Roman" w:hAnsi="Times New Roman"/>
          <w:b/>
          <w:bCs/>
          <w:sz w:val="32"/>
          <w:szCs w:val="32"/>
        </w:rPr>
        <w:t xml:space="preserve">  </w:t>
      </w:r>
      <w:r>
        <w:rPr>
          <w:rFonts w:ascii="仿宋_GB2312" w:hAnsi="仿宋_GB2312"/>
          <w:b/>
          <w:bCs/>
          <w:sz w:val="32"/>
          <w:szCs w:val="32"/>
        </w:rPr>
        <w:t>概况</w:t>
      </w:r>
      <w:r>
        <w:rPr>
          <w:rFonts w:ascii="Times New Roman" w:hAnsi="Times New Roman"/>
          <w:sz w:val="32"/>
          <w:szCs w:val="32"/>
        </w:rPr>
        <w:t xml:space="preserve"> 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一、主要职能</w:t>
      </w:r>
    </w:p>
    <w:p>
      <w:pPr>
        <w:overflowPunct w:val="0"/>
        <w:adjustRightInd w:val="0"/>
        <w:snapToGrid w:val="0"/>
        <w:spacing w:line="550" w:lineRule="exact"/>
        <w:ind w:right="3569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二、预算单位构成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第二部分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hint="eastAsia" w:ascii="Times New Roman" w:hAnsi="Times New Roman"/>
          <w:b/>
          <w:bCs/>
          <w:sz w:val="32"/>
          <w:szCs w:val="32"/>
        </w:rPr>
        <w:t>焦作市</w:t>
      </w:r>
      <w:r>
        <w:rPr>
          <w:rFonts w:hint="eastAsia" w:ascii="宋体" w:hAnsi="宋体" w:cs="宋体"/>
          <w:b/>
          <w:bCs/>
          <w:sz w:val="32"/>
          <w:szCs w:val="32"/>
        </w:rPr>
        <w:t>中站区跃进路小学2024年度预算情况说明</w:t>
      </w:r>
    </w:p>
    <w:p>
      <w:pPr>
        <w:overflowPunct w:val="0"/>
        <w:adjustRightInd w:val="0"/>
        <w:snapToGrid w:val="0"/>
        <w:spacing w:line="550" w:lineRule="exact"/>
        <w:ind w:right="521" w:firstLine="643" w:firstLineChars="200"/>
        <w:rPr>
          <w:rFonts w:ascii="Times New Roman" w:hAnsi="Times New Roman"/>
          <w:b/>
          <w:bCs/>
          <w:sz w:val="32"/>
          <w:szCs w:val="32"/>
        </w:rPr>
      </w:pPr>
      <w:r>
        <w:rPr>
          <w:rFonts w:ascii="仿宋_GB2312" w:hAnsi="仿宋_GB2312"/>
          <w:b/>
          <w:bCs/>
          <w:sz w:val="32"/>
          <w:szCs w:val="32"/>
        </w:rPr>
        <w:t>第三部分</w:t>
      </w:r>
      <w:r>
        <w:rPr>
          <w:rFonts w:ascii="Times New Roman" w:hAnsi="Times New Roman"/>
          <w:b/>
          <w:bCs/>
          <w:sz w:val="32"/>
          <w:szCs w:val="32"/>
        </w:rPr>
        <w:t xml:space="preserve"> </w:t>
      </w:r>
      <w:r>
        <w:rPr>
          <w:rFonts w:ascii="仿宋_GB2312" w:hAnsi="仿宋_GB2312"/>
          <w:b/>
          <w:bCs/>
          <w:sz w:val="32"/>
          <w:szCs w:val="32"/>
        </w:rPr>
        <w:t>名词解释</w:t>
      </w:r>
    </w:p>
    <w:p>
      <w:pPr>
        <w:overflowPunct w:val="0"/>
        <w:adjustRightInd w:val="0"/>
        <w:snapToGrid w:val="0"/>
        <w:spacing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焦作市中站区跃进路小学2024年度预算表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一、部门收支预算表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二、部门收入预算表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三、部门支出预算表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四、财政拨款收支预算表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五、一般公共预算支出预算表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六、一般公共预算基本支出预算表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七、一般公共预算基本支出明细表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八、支出经济分类汇总表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九、一般公共预算“三公”经费预算表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十、政府性基金支出预算表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十一、国有资本经营支出预算表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十二、项目支出预算表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十三、行政（事业）单位机构运行经费</w:t>
      </w:r>
    </w:p>
    <w:p>
      <w:pPr>
        <w:overflowPunct w:val="0"/>
        <w:adjustRightInd w:val="0"/>
        <w:snapToGrid w:val="0"/>
        <w:spacing w:line="550" w:lineRule="exact"/>
        <w:ind w:firstLine="940" w:firstLineChars="294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十四、本级部门（单位）预算项目绩效目标表</w:t>
      </w:r>
    </w:p>
    <w:p>
      <w:pPr>
        <w:overflowPunct w:val="0"/>
        <w:adjustRightInd w:val="0"/>
        <w:snapToGrid w:val="0"/>
        <w:spacing w:line="550" w:lineRule="exact"/>
        <w:ind w:right="51" w:firstLine="960" w:firstLineChars="3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>
      <w:pPr>
        <w:overflowPunct w:val="0"/>
        <w:adjustRightInd w:val="0"/>
        <w:snapToGrid w:val="0"/>
        <w:spacing w:line="580" w:lineRule="exact"/>
        <w:jc w:val="center"/>
        <w:rPr>
          <w:rFonts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第一部分</w:t>
      </w:r>
    </w:p>
    <w:p>
      <w:pPr>
        <w:adjustRightInd w:val="0"/>
        <w:snapToGrid w:val="0"/>
        <w:spacing w:line="580" w:lineRule="exact"/>
        <w:jc w:val="center"/>
        <w:rPr>
          <w:rFonts w:hint="eastAsia" w:ascii="黑体" w:hAnsi="仿宋_GB2312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焦作市中站区跃进路小学部门概况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jc w:val="center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主要职能</w:t>
      </w:r>
    </w:p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 xml:space="preserve">    </w:t>
      </w:r>
      <w:r>
        <w:rPr>
          <w:rFonts w:eastAsia="仿宋_GB2312" w:cs="仿宋_GB2312"/>
          <w:color w:val="000000"/>
          <w:kern w:val="2"/>
          <w:sz w:val="32"/>
          <w:szCs w:val="32"/>
        </w:rPr>
        <w:t>（一）部门主要职责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>1、全面贯彻落实国家的教育方针、政策及相关的法律法规。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>2、加强学校领导班子和教职工队伍建设，不断提高队伍素质。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 xml:space="preserve">    3、面向全体学生，遵循学生身心发展规律和社会发展要求，培养学生良好的行为习惯，引导学生从小逐步树立正确的世界观、人生观和价值观。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>4、遵循教学规律，深化课堂教学改革，减轻学生课业负担，全面提高教育教学质量，促进学生全面发展。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>5、做好校园安全工作，开展师生安全教育，健全安全应急机制，定期进行安全隐患排查，确保师生在校期间安全。</w:t>
      </w:r>
    </w:p>
    <w:p>
      <w:pPr>
        <w:pStyle w:val="5"/>
        <w:widowControl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eastAsia="仿宋_GB2312" w:cs="仿宋_GB2312"/>
          <w:color w:val="000000"/>
          <w:kern w:val="2"/>
          <w:sz w:val="32"/>
          <w:szCs w:val="32"/>
        </w:rPr>
        <w:t>机构设置情况</w:t>
      </w:r>
    </w:p>
    <w:p>
      <w:pPr>
        <w:pStyle w:val="5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eastAsia="仿宋_GB2312" w:cs="仿宋_GB2312"/>
          <w:color w:val="000000"/>
          <w:kern w:val="2"/>
          <w:sz w:val="32"/>
          <w:szCs w:val="32"/>
        </w:rPr>
      </w:pPr>
      <w:r>
        <w:rPr>
          <w:rFonts w:hint="eastAsia" w:eastAsia="仿宋_GB2312" w:cs="仿宋_GB2312"/>
          <w:color w:val="000000"/>
          <w:kern w:val="2"/>
          <w:sz w:val="32"/>
          <w:szCs w:val="32"/>
        </w:rPr>
        <w:t>焦作市中站区跃进路小学于1965年8月成立，隶属中站教育局直接管辖，下设教务处、政教处、综治办三个处室。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outlineLvl w:val="0"/>
        <w:rPr>
          <w:rFonts w:hint="eastAsia" w:ascii="Times New Roman" w:hAnsi="Times New Roman" w:eastAsia="黑体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黑体" w:cs="仿宋_GB2312"/>
          <w:color w:val="000000"/>
          <w:sz w:val="32"/>
          <w:szCs w:val="32"/>
        </w:rPr>
        <w:t>二、焦作市中站区跃进路小学部门预算单位构成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74" w:lineRule="exact"/>
        <w:ind w:firstLine="828" w:firstLineChars="259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本预算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为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焦作市中站区跃进路小学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单位预算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。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黑体" w:hAnsi="黑体" w:eastAsia="黑体" w:cs="仿宋_GB2312"/>
          <w:color w:val="000000"/>
          <w:sz w:val="36"/>
          <w:szCs w:val="36"/>
        </w:rPr>
      </w:pP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第二部分</w:t>
      </w:r>
    </w:p>
    <w:p>
      <w:pPr>
        <w:shd w:val="clear" w:color="auto" w:fill="FFFFFF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黑体" w:cs="仿宋_GB2312"/>
          <w:color w:val="000000"/>
          <w:sz w:val="36"/>
          <w:szCs w:val="36"/>
        </w:rPr>
      </w:pPr>
      <w:r>
        <w:rPr>
          <w:rFonts w:hint="eastAsia" w:ascii="黑体" w:hAnsi="仿宋_GB2312" w:eastAsia="黑体" w:cs="仿宋_GB2312"/>
          <w:bCs/>
          <w:color w:val="000000"/>
          <w:sz w:val="36"/>
          <w:szCs w:val="36"/>
        </w:rPr>
        <w:t>焦作市中站区跃进路小学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</w:rPr>
        <w:t>2024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年度预算情况说明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cs="Arial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焦作市中站区跃进路小学部门2024年收入总计1583.17万元，支出总计1583.17万元，与2023年相比，收、支总计各减少0.36万元，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下降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0.0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%。主要原因： 教师退休，人员减少。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二、收入预算总体情况说明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2024年收入合计1583.17万元，其中：一般公共预算收入1583.17万元; 政府性基金预算收入0万元；国有资本经营预算收入0万元；财政专户管理资金收入0万元。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2024年支出合计1583.17万元，其中基本支出1541.36万元，占97.40%；项目支出41.18万元，占2.60%。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四、财政拨款收入支出预算总体情况说明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 w:eastAsia="仿宋_GB2312" w:cs="Arial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2024年一般公共预算收支预算1583.17万元，政府性基金收支预算0万元。与上年相比，一般公共预算收支预算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减少0.36万元，减少0.00%。主要原因：教师退休，人员减少。政府性基金收支预算增加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万元，增长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%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  <w:t>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五、一般公共预算支出预算情况说明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2024年一般公共预算支出年初预算为1583.17万元。其中本年支出主要用于以下方面：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主要用于以下方面：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教育支出1224.25万元，占77.33%；</w:t>
      </w:r>
      <w:r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</w:rPr>
        <w:t>社会保障和就业支出203.76万元，占12.87%；卫生健康支出61.47万元，占3.88%</w:t>
      </w:r>
      <w:r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color w:val="000000"/>
          <w:spacing w:val="6"/>
          <w:kern w:val="0"/>
          <w:sz w:val="32"/>
          <w:szCs w:val="32"/>
        </w:rPr>
        <w:t>住房保障支出93.69万元，占5.92%。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六、一般公共预算基本支出预算情况说明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hint="eastAsia" w:ascii="Times New Roman" w:hAnsi="Times New Roman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2024年一般公共预算基本支出1541.36万元，其中：</w:t>
      </w:r>
      <w:r>
        <w:rPr>
          <w:rFonts w:hint="eastAsia" w:ascii="Times New Roman" w:hAnsi="Times New Roman" w:eastAsia="仿宋_GB2312" w:cs="仿宋_GB2312"/>
          <w:b/>
          <w:color w:val="000000"/>
          <w:spacing w:val="-1"/>
          <w:kern w:val="0"/>
          <w:sz w:val="32"/>
          <w:szCs w:val="32"/>
        </w:rPr>
        <w:t>人员经费1361.18</w:t>
      </w:r>
      <w:r>
        <w:rPr>
          <w:rFonts w:hint="eastAsia" w:ascii="Times New Roman" w:hAnsi="Times New Roman" w:eastAsia="仿宋_GB2312" w:cs="仿宋_GB2312"/>
          <w:b/>
          <w:color w:val="000000"/>
          <w:sz w:val="32"/>
          <w:szCs w:val="32"/>
        </w:rPr>
        <w:t>万元</w:t>
      </w:r>
      <w:r>
        <w:rPr>
          <w:rFonts w:hint="eastAsia" w:ascii="Times New Roman" w:hAnsi="Times New Roman" w:eastAsia="仿宋_GB2312" w:cs="仿宋_GB2312"/>
          <w:bCs/>
          <w:color w:val="000000"/>
          <w:sz w:val="32"/>
          <w:szCs w:val="32"/>
        </w:rPr>
        <w:t>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基本工资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460.34万元。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津贴补贴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98.73万元。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奖金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238.86万元。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绩效工资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204.33万元。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机关事业单位基本养老保险缴费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124.91万元。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医疗保险缴费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59.91万元。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其他社会保障缴费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1.56万元。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住房公积金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93.69万元。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退休费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78.85万元。</w:t>
      </w:r>
      <w:r>
        <w:rPr>
          <w:rFonts w:ascii="仿宋" w:hAnsi="仿宋" w:eastAsia="仿宋"/>
          <w:b/>
          <w:bCs/>
          <w:color w:val="000000"/>
          <w:kern w:val="0"/>
          <w:sz w:val="32"/>
          <w:szCs w:val="32"/>
        </w:rPr>
        <w:t>公用经费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180.18</w:t>
      </w:r>
      <w:r>
        <w:rPr>
          <w:rFonts w:ascii="仿宋" w:hAnsi="仿宋" w:eastAsia="仿宋"/>
          <w:b/>
          <w:bCs/>
          <w:color w:val="000000"/>
          <w:kern w:val="0"/>
          <w:sz w:val="32"/>
          <w:szCs w:val="32"/>
        </w:rPr>
        <w:t>万元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其中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商品和服务支出160.18万元，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包括：办公费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58.27万元。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水费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12.75万元。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电费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16.50万元。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邮电费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取培训费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11.49万元。维修费15万元。工会经费15.61万元。福利费19.52万元。公务接待费0.04万元。</w:t>
      </w:r>
      <w:r>
        <w:rPr>
          <w:rFonts w:ascii="仿宋" w:hAnsi="仿宋" w:eastAsia="仿宋"/>
          <w:color w:val="000000"/>
          <w:kern w:val="0"/>
          <w:sz w:val="32"/>
          <w:szCs w:val="32"/>
        </w:rPr>
        <w:t>专用材料费</w:t>
      </w:r>
      <w:r>
        <w:rPr>
          <w:rFonts w:hint="eastAsia" w:ascii="仿宋" w:hAnsi="仿宋" w:eastAsia="仿宋"/>
          <w:color w:val="000000"/>
          <w:kern w:val="0"/>
          <w:sz w:val="32"/>
          <w:szCs w:val="32"/>
        </w:rPr>
        <w:t>10万。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七、政府性基金预算支出预算情况说明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我单位2024年没有使用政府性基金预算拨款安排的支出。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八、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国有资本经营预算支出预算情况说明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我单位2024年没有使用国有资本经营预算拨款安排的支出。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九、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>“三公”经费支出预算情况说明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2024年一般公共预算“三公”经费支出预算为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 比上年预算数减少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具体支出情况如下：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（一）因公出国（境）费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万元，，比上年预算数减少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（二）公务用车购置及运行费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万元。其中公务车辆购置费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%；公务用车运行维护费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万元，比上年减少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万元，较上年下降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hint="eastAsia"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万元，主要用于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日常公务接待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，比上年预算数减少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万元，下降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%。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36" w:firstLineChars="200"/>
        <w:outlineLvl w:val="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pacing w:val="-1"/>
          <w:kern w:val="0"/>
          <w:sz w:val="32"/>
          <w:szCs w:val="32"/>
        </w:rPr>
        <w:t>十、其他重要事项的情况说明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cs="仿宋_GB2312"/>
          <w:color w:val="000000"/>
          <w:sz w:val="32"/>
          <w:szCs w:val="32"/>
        </w:rPr>
      </w:pPr>
      <w:r>
        <w:rPr>
          <w:rFonts w:ascii="楷体_GB2312" w:hAnsi="楷体_GB2312" w:cs="仿宋_GB2312"/>
          <w:color w:val="000000"/>
          <w:kern w:val="0"/>
          <w:sz w:val="32"/>
          <w:szCs w:val="32"/>
        </w:rPr>
        <w:t>（一）机构运行经费支出情况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22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2024年机构运行经费支出预算145.05万元，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主要保障机构正常运转及正常履职需要的办公费、水电费、物业费、维修费、差旅费等支出，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比上年增加12.99万元，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增加9.8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%，主要原因：学生人数增加。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cs="仿宋_GB2312"/>
          <w:color w:val="000000"/>
          <w:kern w:val="0"/>
          <w:sz w:val="32"/>
          <w:szCs w:val="32"/>
        </w:rPr>
        <w:t>（二）政府采购支出情况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我部门2024年没有政府采购预算安排。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cs="仿宋_GB2312"/>
          <w:color w:val="000000"/>
          <w:kern w:val="0"/>
          <w:sz w:val="32"/>
          <w:szCs w:val="32"/>
        </w:rPr>
        <w:t>（三）关于预算绩效管理工作开展情况说明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2024年焦作市中站区跃进路小学按要求编制了绩效目标，综合反映了单位各项目预期完成的成本指标、产出指标、效益指标和满意度指标等情况。2024年，我单位纳入预算绩效管理的项目支出41.81万元，涉及项目1个。我单位无重点项目预算的绩效目标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cs="仿宋_GB2312"/>
          <w:color w:val="000000"/>
          <w:sz w:val="32"/>
          <w:szCs w:val="32"/>
        </w:rPr>
      </w:pPr>
      <w:r>
        <w:rPr>
          <w:rFonts w:ascii="楷体_GB2312" w:hAnsi="楷体_GB2312" w:cs="仿宋_GB2312"/>
          <w:color w:val="000000"/>
          <w:sz w:val="32"/>
          <w:szCs w:val="32"/>
        </w:rPr>
        <w:t>（四）国有资产占用情况</w:t>
      </w:r>
    </w:p>
    <w:p>
      <w:pPr>
        <w:overflowPunct w:val="0"/>
        <w:autoSpaceDE w:val="0"/>
        <w:autoSpaceDN w:val="0"/>
        <w:adjustRightInd w:val="0"/>
        <w:snapToGrid w:val="0"/>
        <w:spacing w:line="574" w:lineRule="exact"/>
        <w:ind w:firstLine="640" w:firstLineChars="200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2023年期末，焦作市中站区跃进路小学部门固定资产总额620.09万元，其中，房屋建筑物146.62万元，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车辆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0万元，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通用设备330.08万元，专用设备41.09万元，图书25.72万元，家具75.83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eastAsia="zh-CN"/>
        </w:rPr>
        <w:t>，其他资产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0.75万元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。车辆共有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辆，其中：一般公务用车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辆，执法执勤车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辆；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单价50万元以上通用设备0台（套），单位价值100万元以上专用设备0台（套）。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cs="仿宋_GB2312"/>
          <w:color w:val="000000"/>
          <w:kern w:val="0"/>
          <w:sz w:val="32"/>
          <w:szCs w:val="32"/>
        </w:rPr>
        <w:t>（五）专项转移支付项目情况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我部门负责管理的专项转移支付项目共有0项。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ascii="Times New Roman" w:hAnsi="Times New Roman" w:cs="仿宋_GB2312"/>
          <w:color w:val="000000"/>
          <w:kern w:val="0"/>
          <w:sz w:val="32"/>
          <w:szCs w:val="32"/>
        </w:rPr>
      </w:pPr>
      <w:r>
        <w:rPr>
          <w:rFonts w:ascii="楷体_GB2312" w:hAnsi="楷体_GB2312" w:cs="仿宋_GB2312"/>
          <w:color w:val="000000"/>
          <w:kern w:val="0"/>
          <w:sz w:val="32"/>
          <w:szCs w:val="32"/>
        </w:rPr>
        <w:t>（六）关于预算部门构成说明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2024年我单位按照预算公开要求，将所属预算单位全部纳入预算公开范围。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eastAsia" w:ascii="Times New Roman" w:hAnsi="Times New Roman" w:eastAsia="黑体"/>
          <w:color w:val="000000"/>
          <w:sz w:val="36"/>
          <w:szCs w:val="36"/>
        </w:rPr>
      </w:pPr>
      <w:r>
        <w:rPr>
          <w:rFonts w:hint="eastAsia" w:ascii="黑体" w:hAnsi="黑体" w:eastAsia="黑体"/>
          <w:color w:val="000000"/>
          <w:sz w:val="36"/>
          <w:szCs w:val="36"/>
        </w:rPr>
        <w:t>第三部分</w:t>
      </w:r>
      <w:r>
        <w:rPr>
          <w:rFonts w:hint="eastAsia" w:ascii="Times New Roman" w:hAnsi="Times New Roman" w:eastAsia="黑体"/>
          <w:color w:val="000000"/>
          <w:sz w:val="36"/>
          <w:szCs w:val="36"/>
        </w:rPr>
        <w:t xml:space="preserve">  </w:t>
      </w:r>
      <w:r>
        <w:rPr>
          <w:rFonts w:hint="eastAsia" w:ascii="黑体" w:hAnsi="黑体" w:eastAsia="黑体"/>
          <w:color w:val="000000"/>
          <w:sz w:val="36"/>
          <w:szCs w:val="36"/>
        </w:rPr>
        <w:t>名词解释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一、财政拨款收入：是指市级财政当年拨付的资金。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二、事业收入：是指事业单位开展专业活动及辅助活动所取 得的收入。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三、其他收入：是指部门取得的除“财政拨款”、“事业收入”、“事业单位经营收入”等以外的收入。 </w:t>
      </w:r>
    </w:p>
    <w:p>
      <w:pPr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    四、基本支出：是指为保障机构正常运转、完成日常工作任务所必需的开支，其内容包括人员经费和日常公用经费两部分。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五、项目支出：是指在基本支出之外，为完成特定的行政工作任务或事业发展目标所发生的支出。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六、“三公”经费：是指纳入市级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overflowPunct w:val="0"/>
        <w:autoSpaceDE w:val="0"/>
        <w:autoSpaceDN w:val="0"/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七、行政（事业）单位机构运行经费：是指为保障行政（事业）单位机构正常运转及正常履职需要的办公费、水电费、日常维修、物业费、维修费、差旅费、公务用车运行维护费以及其他费用等支出。</w:t>
      </w:r>
    </w:p>
    <w:p>
      <w:pPr>
        <w:pStyle w:val="2"/>
        <w:ind w:firstLine="640"/>
        <w:rPr>
          <w:rFonts w:hint="eastAsia" w:ascii="Times New Roman" w:hAnsi="Times New Roman" w:cs="仿宋_GB2312"/>
          <w:color w:val="000000"/>
          <w:szCs w:val="32"/>
        </w:rPr>
      </w:pPr>
      <w:r>
        <w:rPr>
          <w:rFonts w:ascii="仿宋_GB2312" w:hAnsi="仿宋_GB2312"/>
          <w:color w:val="000000"/>
          <w:szCs w:val="32"/>
        </w:rPr>
        <w:t>八、</w:t>
      </w:r>
      <w:r>
        <w:rPr>
          <w:rFonts w:hint="eastAsia" w:ascii="Times New Roman" w:hAnsi="Times New Roman" w:cs="仿宋_GB2312"/>
          <w:color w:val="000000"/>
          <w:szCs w:val="32"/>
        </w:rPr>
        <w:t>教育支出：反映教育事务支出。具体包括：教育管理事务、普通教育、职业教育、成人教育、广播电视教育、留学教育、进修及培训、教育费附加安排的支出、其他教育支出。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E49CB"/>
    <w:multiLevelType w:val="multilevel"/>
    <w:tmpl w:val="19FE49CB"/>
    <w:lvl w:ilvl="0" w:tentative="0">
      <w:start w:val="2"/>
      <w:numFmt w:val="japaneseCounting"/>
      <w:lvlText w:val="（%1）"/>
      <w:lvlJc w:val="left"/>
      <w:pPr>
        <w:ind w:left="1080" w:hanging="1080"/>
      </w:pPr>
      <w:rPr>
        <w:rFonts w:hint="default" w:cs="楷体_GB231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211E7F"/>
    <w:multiLevelType w:val="multilevel"/>
    <w:tmpl w:val="1E211E7F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40A"/>
    <w:rsid w:val="00502C5E"/>
    <w:rsid w:val="00EF740A"/>
    <w:rsid w:val="51FB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600" w:lineRule="exact"/>
      <w:ind w:firstLine="200" w:firstLineChars="200"/>
    </w:pPr>
    <w:rPr>
      <w:rFonts w:eastAsia="仿宋_GB2312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XLGS.CN.COM</Company>
  <Pages>8</Pages>
  <Words>490</Words>
  <Characters>2799</Characters>
  <Lines>23</Lines>
  <Paragraphs>6</Paragraphs>
  <TotalTime>11</TotalTime>
  <ScaleCrop>false</ScaleCrop>
  <LinksUpToDate>false</LinksUpToDate>
  <CharactersWithSpaces>3283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2024-03-04T07:28:00Z</dcterms:created>
  <dc:creator>kjs</dc:creator>
  <cp:lastModifiedBy>Administrator</cp:lastModifiedBy>
  <dcterms:modified xsi:type="dcterms:W3CDTF">2024-03-13T00:28:11Z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