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223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40" w:lineRule="exact"/>
        <w:ind w:left="0" w:leftChars="0" w:right="0" w:rightChars="0" w:firstLine="2310" w:firstLineChars="500"/>
        <w:jc w:val="both"/>
        <w:textAlignment w:val="top"/>
        <w:rPr>
          <w:rFonts w:hint="eastAsia" w:ascii="Times New Roman" w:hAnsi="Times New Roman" w:eastAsia="方正小标宋简体" w:cs="Times New Roman"/>
          <w:b w:val="0"/>
          <w:bCs/>
          <w:snapToGrid/>
          <w:color w:val="000000"/>
          <w:spacing w:val="11"/>
          <w:kern w:val="2"/>
          <w:sz w:val="44"/>
          <w:szCs w:val="44"/>
          <w:lang w:val="en-US" w:eastAsia="zh-CN" w:bidi="ar"/>
        </w:rPr>
      </w:pPr>
      <w:bookmarkStart w:id="0" w:name="OLE_LINK9"/>
      <w:bookmarkStart w:id="1" w:name="OLE_LINK10"/>
      <w:r>
        <w:rPr>
          <w:rFonts w:hint="default" w:ascii="Times New Roman" w:hAnsi="Times New Roman" w:eastAsia="方正小标宋简体" w:cs="Times New Roman"/>
          <w:b w:val="0"/>
          <w:bCs/>
          <w:snapToGrid/>
          <w:color w:val="000000"/>
          <w:spacing w:val="11"/>
          <w:kern w:val="2"/>
          <w:sz w:val="44"/>
          <w:szCs w:val="44"/>
          <w:lang w:val="en-US" w:eastAsia="zh-CN" w:bidi="ar"/>
        </w:rPr>
        <w:t>中站区人民政府</w:t>
      </w:r>
      <w:r>
        <w:rPr>
          <w:rFonts w:hint="eastAsia" w:ascii="Times New Roman" w:hAnsi="Times New Roman" w:eastAsia="方正小标宋简体" w:cs="Times New Roman"/>
          <w:b w:val="0"/>
          <w:bCs/>
          <w:snapToGrid/>
          <w:color w:val="000000"/>
          <w:spacing w:val="11"/>
          <w:kern w:val="2"/>
          <w:sz w:val="44"/>
          <w:szCs w:val="44"/>
          <w:lang w:val="en-US" w:eastAsia="zh-CN" w:bidi="ar"/>
        </w:rPr>
        <w:t>办公室</w:t>
      </w:r>
    </w:p>
    <w:p w14:paraId="1910EB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40" w:lineRule="exact"/>
        <w:ind w:left="0" w:leftChars="0" w:right="0" w:rightChars="0" w:firstLine="0" w:firstLineChars="0"/>
        <w:jc w:val="center"/>
        <w:textAlignment w:val="top"/>
        <w:rPr>
          <w:rFonts w:hint="eastAsia" w:ascii="Times New Roman" w:hAnsi="Times New Roman" w:eastAsia="方正小标宋简体" w:cs="Times New Roman"/>
          <w:b w:val="0"/>
          <w:bCs/>
          <w:i w:val="0"/>
          <w:iCs w:val="0"/>
          <w:caps w:val="0"/>
          <w:snapToGrid w:val="0"/>
          <w:color w:val="auto"/>
          <w:spacing w:val="11"/>
          <w:kern w:val="0"/>
          <w:sz w:val="44"/>
          <w:szCs w:val="44"/>
          <w:highlight w:val="none"/>
          <w:u w:val="none"/>
          <w:shd w:val="clear" w:color="auto" w:fill="FFFFFF"/>
          <w:lang w:val="en-US" w:eastAsia="zh-CN" w:bidi="ar"/>
        </w:rPr>
      </w:pPr>
      <w:r>
        <w:rPr>
          <w:rFonts w:hint="eastAsia" w:ascii="Times New Roman" w:hAnsi="Times New Roman" w:eastAsia="方正小标宋简体" w:cs="Times New Roman"/>
          <w:b w:val="0"/>
          <w:bCs/>
          <w:i w:val="0"/>
          <w:iCs w:val="0"/>
          <w:caps w:val="0"/>
          <w:snapToGrid w:val="0"/>
          <w:color w:val="auto"/>
          <w:spacing w:val="11"/>
          <w:kern w:val="0"/>
          <w:sz w:val="44"/>
          <w:szCs w:val="44"/>
          <w:highlight w:val="none"/>
          <w:u w:val="none"/>
          <w:shd w:val="clear" w:color="auto" w:fill="FFFFFF"/>
          <w:lang w:val="en-US" w:eastAsia="zh-CN" w:bidi="ar"/>
        </w:rPr>
        <w:t>关于进一步建立完善根治欠薪</w:t>
      </w:r>
    </w:p>
    <w:p w14:paraId="54DE70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40" w:lineRule="exact"/>
        <w:ind w:left="0" w:leftChars="0" w:right="0" w:rightChars="0" w:firstLine="0" w:firstLineChars="0"/>
        <w:jc w:val="center"/>
        <w:textAlignment w:val="top"/>
        <w:rPr>
          <w:rFonts w:hint="eastAsia" w:ascii="Times New Roman" w:hAnsi="Times New Roman" w:eastAsia="方正小标宋简体" w:cs="Times New Roman"/>
          <w:b w:val="0"/>
          <w:bCs/>
          <w:i w:val="0"/>
          <w:iCs w:val="0"/>
          <w:caps w:val="0"/>
          <w:snapToGrid w:val="0"/>
          <w:color w:val="auto"/>
          <w:spacing w:val="11"/>
          <w:kern w:val="0"/>
          <w:sz w:val="44"/>
          <w:szCs w:val="44"/>
          <w:highlight w:val="none"/>
          <w:u w:val="none"/>
          <w:shd w:val="clear" w:color="auto" w:fill="FFFFFF"/>
          <w:lang w:val="en-US" w:eastAsia="zh-CN" w:bidi="ar"/>
        </w:rPr>
      </w:pPr>
      <w:r>
        <w:rPr>
          <w:rFonts w:hint="eastAsia" w:ascii="Times New Roman" w:hAnsi="Times New Roman" w:eastAsia="方正小标宋简体" w:cs="Times New Roman"/>
          <w:b w:val="0"/>
          <w:bCs/>
          <w:i w:val="0"/>
          <w:iCs w:val="0"/>
          <w:caps w:val="0"/>
          <w:snapToGrid w:val="0"/>
          <w:color w:val="auto"/>
          <w:spacing w:val="11"/>
          <w:kern w:val="0"/>
          <w:sz w:val="44"/>
          <w:szCs w:val="44"/>
          <w:highlight w:val="none"/>
          <w:u w:val="none"/>
          <w:shd w:val="clear" w:color="auto" w:fill="FFFFFF"/>
          <w:lang w:val="en-US" w:eastAsia="zh-CN" w:bidi="ar"/>
        </w:rPr>
        <w:t>工作机制的实施意见</w:t>
      </w:r>
    </w:p>
    <w:p w14:paraId="2B9B7567">
      <w:pPr>
        <w:pStyle w:val="2"/>
        <w:rPr>
          <w:rFonts w:hint="default"/>
          <w:lang w:val="en-US" w:eastAsia="zh-CN"/>
        </w:rPr>
      </w:pPr>
      <w:r>
        <w:rPr>
          <w:rFonts w:hint="eastAsia" w:eastAsia="方正小标宋简体" w:cs="Times New Roman"/>
          <w:b w:val="0"/>
          <w:bCs/>
          <w:i w:val="0"/>
          <w:iCs w:val="0"/>
          <w:caps w:val="0"/>
          <w:snapToGrid w:val="0"/>
          <w:color w:val="auto"/>
          <w:spacing w:val="11"/>
          <w:kern w:val="0"/>
          <w:sz w:val="44"/>
          <w:szCs w:val="44"/>
          <w:highlight w:val="none"/>
          <w:u w:val="none"/>
          <w:shd w:val="clear" w:color="auto" w:fill="FFFFFF"/>
          <w:lang w:val="en-US" w:eastAsia="zh-CN" w:bidi="ar"/>
        </w:rPr>
        <w:t xml:space="preserve">          （征求意见稿）</w:t>
      </w:r>
    </w:p>
    <w:p w14:paraId="0DC2BB1D">
      <w:pPr>
        <w:keepNext w:val="0"/>
        <w:keepLines w:val="0"/>
        <w:pageBreakBefore w:val="0"/>
        <w:widowControl w:val="0"/>
        <w:shd w:val="clear" w:color="auto" w:fill="auto"/>
        <w:kinsoku/>
        <w:wordWrap/>
        <w:overflowPunct w:val="0"/>
        <w:topLinePunct w:val="0"/>
        <w:autoSpaceDE/>
        <w:autoSpaceDN/>
        <w:bidi w:val="0"/>
        <w:adjustRightInd w:val="0"/>
        <w:snapToGrid w:val="0"/>
        <w:spacing w:line="540" w:lineRule="exact"/>
        <w:ind w:left="0" w:leftChars="0" w:firstLine="0" w:firstLineChars="0"/>
        <w:jc w:val="both"/>
        <w:textAlignment w:val="baseline"/>
        <w:rPr>
          <w:rFonts w:hint="default" w:ascii="Times New Roman" w:hAnsi="Times New Roman" w:eastAsia="仿宋_GB2312" w:cs="Times New Roman"/>
          <w:i w:val="0"/>
          <w:iCs w:val="0"/>
          <w:caps w:val="0"/>
          <w:snapToGrid w:val="0"/>
          <w:color w:val="auto"/>
          <w:spacing w:val="0"/>
          <w:kern w:val="0"/>
          <w:sz w:val="32"/>
          <w:szCs w:val="32"/>
          <w:highlight w:val="none"/>
          <w:u w:val="none"/>
          <w:shd w:val="clear" w:color="auto" w:fill="FFFFFF"/>
          <w:lang w:eastAsia="zh-CN"/>
        </w:rPr>
      </w:pPr>
    </w:p>
    <w:p w14:paraId="3D0E20C2">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b w:val="0"/>
          <w:bCs/>
          <w:snapToGrid/>
          <w:color w:val="000000"/>
          <w:kern w:val="2"/>
          <w:sz w:val="32"/>
          <w:szCs w:val="32"/>
          <w:lang w:eastAsia="zh-CN"/>
        </w:rPr>
      </w:pPr>
      <w:r>
        <w:rPr>
          <w:rFonts w:hint="default" w:ascii="Times New Roman" w:hAnsi="Times New Roman" w:eastAsia="仿宋_GB2312" w:cs="Times New Roman"/>
          <w:b w:val="0"/>
          <w:bCs/>
          <w:snapToGrid/>
          <w:color w:val="000000"/>
          <w:kern w:val="2"/>
          <w:sz w:val="32"/>
          <w:szCs w:val="32"/>
          <w:lang w:eastAsia="zh-CN"/>
        </w:rPr>
        <w:t>各街道办事处，</w:t>
      </w:r>
      <w:r>
        <w:rPr>
          <w:rFonts w:hint="eastAsia" w:ascii="Times New Roman" w:hAnsi="Times New Roman" w:eastAsia="仿宋_GB2312" w:cs="Times New Roman"/>
          <w:b w:val="0"/>
          <w:bCs/>
          <w:snapToGrid/>
          <w:color w:val="000000"/>
          <w:kern w:val="2"/>
          <w:sz w:val="32"/>
          <w:szCs w:val="32"/>
          <w:lang w:eastAsia="zh-CN"/>
        </w:rPr>
        <w:t>区政府各部门，</w:t>
      </w:r>
      <w:r>
        <w:rPr>
          <w:rFonts w:hint="default" w:ascii="Times New Roman" w:hAnsi="Times New Roman" w:eastAsia="仿宋_GB2312" w:cs="Times New Roman"/>
          <w:b w:val="0"/>
          <w:bCs/>
          <w:snapToGrid/>
          <w:color w:val="000000"/>
          <w:kern w:val="2"/>
          <w:sz w:val="32"/>
          <w:szCs w:val="32"/>
          <w:lang w:eastAsia="zh-CN"/>
        </w:rPr>
        <w:t>各有关单位：</w:t>
      </w:r>
    </w:p>
    <w:p w14:paraId="0DAC7928">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b w:val="0"/>
          <w:bCs/>
          <w:snapToGrid/>
          <w:color w:val="000000"/>
          <w:kern w:val="2"/>
          <w:sz w:val="32"/>
          <w:szCs w:val="32"/>
          <w:lang w:val="en-US" w:eastAsia="zh-CN"/>
        </w:rPr>
      </w:pPr>
      <w:r>
        <w:rPr>
          <w:rFonts w:hint="default" w:ascii="Times New Roman" w:hAnsi="Times New Roman" w:eastAsia="仿宋_GB2312" w:cs="Times New Roman"/>
          <w:b w:val="0"/>
          <w:bCs/>
          <w:snapToGrid/>
          <w:color w:val="000000"/>
          <w:kern w:val="2"/>
          <w:sz w:val="32"/>
          <w:szCs w:val="32"/>
          <w:lang w:val="en-US" w:eastAsia="zh-CN"/>
        </w:rPr>
        <w:t>为深入学习贯彻党的二十大精神和习近平总书记重要指示批示精神，落实《保障农民工工资支付条例》《劳动保障监察条例》《河南省工程建设领域农民工工资保证金实施办法》和省、市政府关于根治欠薪工作的决策部署，结合</w:t>
      </w:r>
      <w:r>
        <w:rPr>
          <w:rFonts w:hint="eastAsia" w:ascii="Times New Roman" w:hAnsi="Times New Roman" w:eastAsia="仿宋_GB2312" w:cs="Times New Roman"/>
          <w:b w:val="0"/>
          <w:bCs/>
          <w:snapToGrid/>
          <w:color w:val="000000"/>
          <w:kern w:val="2"/>
          <w:sz w:val="32"/>
          <w:szCs w:val="32"/>
          <w:lang w:val="en-US" w:eastAsia="zh-CN"/>
        </w:rPr>
        <w:t>我区</w:t>
      </w:r>
      <w:r>
        <w:rPr>
          <w:rFonts w:hint="default" w:ascii="Times New Roman" w:hAnsi="Times New Roman" w:eastAsia="仿宋_GB2312" w:cs="Times New Roman"/>
          <w:b w:val="0"/>
          <w:bCs/>
          <w:snapToGrid/>
          <w:color w:val="000000"/>
          <w:kern w:val="2"/>
          <w:sz w:val="32"/>
          <w:szCs w:val="32"/>
          <w:lang w:val="en-US" w:eastAsia="zh-CN"/>
        </w:rPr>
        <w:t>实际，制定本实施意见。</w:t>
      </w:r>
    </w:p>
    <w:p w14:paraId="2027619E">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黑体" w:cs="Times New Roman"/>
          <w:spacing w:val="-6"/>
          <w:sz w:val="32"/>
          <w:szCs w:val="32"/>
          <w:lang w:val="en-US" w:eastAsia="zh-CN"/>
        </w:rPr>
      </w:pPr>
      <w:r>
        <w:rPr>
          <w:rFonts w:ascii="Times New Roman" w:hAnsi="Times New Roman" w:eastAsia="黑体" w:cs="Times New Roman"/>
          <w:spacing w:val="-6"/>
          <w:sz w:val="32"/>
          <w:szCs w:val="32"/>
        </w:rPr>
        <w:t>一、工作目标</w:t>
      </w:r>
      <w:r>
        <w:rPr>
          <w:rFonts w:hint="eastAsia" w:ascii="Times New Roman" w:hAnsi="Times New Roman" w:eastAsia="黑体" w:cs="Times New Roman"/>
          <w:spacing w:val="-6"/>
          <w:sz w:val="32"/>
          <w:szCs w:val="32"/>
          <w:lang w:val="en-US" w:eastAsia="zh-CN"/>
        </w:rPr>
        <w:t xml:space="preserve"> </w:t>
      </w:r>
    </w:p>
    <w:p w14:paraId="7FB7B74D">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坚持以人民为中心的发展思想，在源头预防、过程监管、线索处置等环节明确工作要求，健全制度机制，构建全链条防控体系，切实保障农民工合法权益。</w:t>
      </w:r>
      <w:r>
        <w:rPr>
          <w:rFonts w:hint="eastAsia" w:ascii="Times New Roman" w:hAnsi="Times New Roman" w:eastAsia="仿宋_GB2312" w:cs="Times New Roman"/>
          <w:spacing w:val="-6"/>
          <w:sz w:val="32"/>
          <w:szCs w:val="32"/>
        </w:rPr>
        <w:t>坚持系统治理、标本兼治、超前发力、精准施策，以工程建设领域的欠薪突发</w:t>
      </w:r>
      <w:r>
        <w:rPr>
          <w:rFonts w:hint="eastAsia" w:ascii="Times New Roman" w:hAnsi="Times New Roman" w:eastAsia="仿宋_GB2312" w:cs="Times New Roman"/>
          <w:spacing w:val="-6"/>
          <w:sz w:val="32"/>
          <w:szCs w:val="32"/>
          <w:lang w:val="en-US" w:eastAsia="zh-CN"/>
        </w:rPr>
        <w:t>、</w:t>
      </w:r>
      <w:r>
        <w:rPr>
          <w:rFonts w:hint="eastAsia" w:ascii="Times New Roman" w:hAnsi="Times New Roman" w:eastAsia="仿宋_GB2312" w:cs="Times New Roman"/>
          <w:spacing w:val="-6"/>
          <w:sz w:val="32"/>
          <w:szCs w:val="32"/>
        </w:rPr>
        <w:t>多发行业企业等新就业形态为重点，</w:t>
      </w:r>
      <w:r>
        <w:rPr>
          <w:rFonts w:ascii="Times New Roman" w:hAnsi="Times New Roman" w:eastAsia="仿宋_GB2312" w:cs="Times New Roman"/>
          <w:spacing w:val="-6"/>
          <w:sz w:val="32"/>
          <w:szCs w:val="32"/>
        </w:rPr>
        <w:t>全面落实人社部门综合牵头、行业主管部门具体负责、用工企业直接承担工资支付责任，</w:t>
      </w:r>
      <w:r>
        <w:rPr>
          <w:rFonts w:hint="eastAsia" w:ascii="Times New Roman" w:hAnsi="Times New Roman" w:eastAsia="仿宋_GB2312" w:cs="Times New Roman"/>
          <w:spacing w:val="-6"/>
          <w:sz w:val="32"/>
          <w:szCs w:val="32"/>
        </w:rPr>
        <w:t>突出日常监管机制和能力建设，完善</w:t>
      </w:r>
      <w:r>
        <w:rPr>
          <w:rFonts w:ascii="Times New Roman" w:hAnsi="Times New Roman" w:eastAsia="仿宋_GB2312" w:cs="Times New Roman"/>
          <w:spacing w:val="-6"/>
          <w:sz w:val="32"/>
          <w:szCs w:val="32"/>
        </w:rPr>
        <w:t>市场主体自律、政府依法监管、社会协同监督、司法联动惩处的工作体系，</w:t>
      </w:r>
      <w:r>
        <w:rPr>
          <w:rFonts w:hint="eastAsia" w:ascii="Times New Roman" w:hAnsi="Times New Roman" w:eastAsia="仿宋_GB2312" w:cs="Times New Roman"/>
          <w:spacing w:val="-6"/>
          <w:sz w:val="32"/>
          <w:szCs w:val="32"/>
        </w:rPr>
        <w:t>切实保障农民工合法权益，防范化解重大欠薪隐患，防止因欠薪问题引发重大事件、极端事件和重大舆情事件，为经济发展、社会稳定、民生改善做出贡献。</w:t>
      </w:r>
    </w:p>
    <w:p w14:paraId="6E2E3349">
      <w:pPr>
        <w:keepNext w:val="0"/>
        <w:keepLines w:val="0"/>
        <w:pageBreakBefore w:val="0"/>
        <w:numPr>
          <w:ilvl w:val="0"/>
          <w:numId w:val="1"/>
        </w:numPr>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黑体" w:cs="Times New Roman"/>
          <w:spacing w:val="-6"/>
          <w:sz w:val="32"/>
          <w:szCs w:val="32"/>
        </w:rPr>
      </w:pPr>
      <w:r>
        <w:rPr>
          <w:rFonts w:hint="eastAsia" w:ascii="Times New Roman" w:hAnsi="Times New Roman" w:eastAsia="黑体" w:cs="Times New Roman"/>
          <w:spacing w:val="-6"/>
          <w:sz w:val="32"/>
          <w:szCs w:val="32"/>
          <w:lang w:val="en-US" w:eastAsia="zh-CN"/>
        </w:rPr>
        <w:t>全链条落实责任</w:t>
      </w:r>
    </w:p>
    <w:p w14:paraId="3EFC98E7">
      <w:pPr>
        <w:keepNext w:val="0"/>
        <w:keepLines w:val="0"/>
        <w:pageBreakBefore w:val="0"/>
        <w:widowControl/>
        <w:numPr>
          <w:ilvl w:val="0"/>
          <w:numId w:val="0"/>
        </w:numPr>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楷体_GB2312" w:cs="Times New Roman"/>
          <w:spacing w:val="-6"/>
          <w:sz w:val="32"/>
          <w:szCs w:val="32"/>
          <w:lang w:val="en-US" w:eastAsia="zh-CN"/>
        </w:rPr>
      </w:pPr>
      <w:r>
        <w:rPr>
          <w:rFonts w:hint="eastAsia" w:ascii="Times New Roman" w:hAnsi="Times New Roman" w:eastAsia="楷体_GB2312" w:cs="Times New Roman"/>
          <w:spacing w:val="-6"/>
          <w:sz w:val="32"/>
          <w:szCs w:val="32"/>
          <w:lang w:val="en-US" w:eastAsia="zh-CN"/>
        </w:rPr>
        <w:t>（一）主要单位职责分工</w:t>
      </w:r>
    </w:p>
    <w:p w14:paraId="03A44E8C">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楷体_GB2312" w:hAnsi="楷体_GB2312" w:eastAsia="楷体_GB2312" w:cs="楷体_GB2312"/>
          <w:spacing w:val="-6"/>
          <w:sz w:val="32"/>
          <w:szCs w:val="32"/>
        </w:rPr>
      </w:pPr>
      <w:r>
        <w:rPr>
          <w:rFonts w:hint="eastAsia" w:ascii="仿宋_GB2312" w:hAnsi="仿宋_GB2312" w:eastAsia="仿宋_GB2312" w:cs="仿宋_GB2312"/>
          <w:b/>
          <w:bCs/>
          <w:spacing w:val="-6"/>
          <w:sz w:val="32"/>
          <w:szCs w:val="32"/>
          <w:lang w:eastAsia="zh-CN"/>
        </w:rPr>
        <w:t>区人力资源社会保障局</w:t>
      </w:r>
      <w:r>
        <w:rPr>
          <w:rFonts w:hint="eastAsia" w:ascii="仿宋_GB2312" w:hAnsi="仿宋_GB2312" w:eastAsia="仿宋_GB2312" w:cs="仿宋_GB2312"/>
          <w:b/>
          <w:bCs/>
          <w:spacing w:val="-6"/>
          <w:sz w:val="32"/>
          <w:szCs w:val="32"/>
        </w:rPr>
        <w:t>：</w:t>
      </w:r>
      <w:r>
        <w:rPr>
          <w:rFonts w:hint="eastAsia" w:ascii="Times New Roman" w:hAnsi="Times New Roman" w:eastAsia="仿宋_GB2312" w:cs="Times New Roman"/>
          <w:spacing w:val="-6"/>
          <w:sz w:val="32"/>
          <w:szCs w:val="32"/>
        </w:rPr>
        <w:t>负责保障农民工工资支付工作的组织协调、管理指导和农民工工资支付情况的监督检查，查处有关拖欠农民工工资案件。</w:t>
      </w:r>
    </w:p>
    <w:p w14:paraId="6FEB615D">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楷体_GB2312" w:hAnsi="楷体_GB2312" w:eastAsia="楷体_GB2312" w:cs="楷体_GB2312"/>
          <w:spacing w:val="-6"/>
          <w:sz w:val="32"/>
          <w:szCs w:val="32"/>
        </w:rPr>
      </w:pPr>
      <w:r>
        <w:rPr>
          <w:rFonts w:hint="eastAsia" w:ascii="仿宋_GB2312" w:hAnsi="仿宋_GB2312" w:eastAsia="仿宋_GB2312" w:cs="仿宋_GB2312"/>
          <w:b/>
          <w:bCs/>
          <w:spacing w:val="-6"/>
          <w:sz w:val="32"/>
          <w:szCs w:val="32"/>
          <w:lang w:eastAsia="zh-CN"/>
        </w:rPr>
        <w:t>焦作市自然资源和规划局中站分局</w:t>
      </w:r>
      <w:r>
        <w:rPr>
          <w:rFonts w:hint="eastAsia" w:ascii="仿宋_GB2312" w:hAnsi="仿宋_GB2312" w:eastAsia="仿宋_GB2312" w:cs="仿宋_GB2312"/>
          <w:b/>
          <w:bCs/>
          <w:spacing w:val="-6"/>
          <w:sz w:val="32"/>
          <w:szCs w:val="32"/>
        </w:rPr>
        <w:t>、区住房城乡建设局、区交通运输局、区农业农村局、</w:t>
      </w:r>
      <w:r>
        <w:rPr>
          <w:rFonts w:hint="eastAsia" w:ascii="仿宋_GB2312" w:hAnsi="仿宋_GB2312" w:eastAsia="仿宋_GB2312" w:cs="仿宋_GB2312"/>
          <w:b/>
          <w:bCs/>
          <w:spacing w:val="-6"/>
          <w:sz w:val="32"/>
          <w:szCs w:val="32"/>
          <w:lang w:eastAsia="zh-CN"/>
        </w:rPr>
        <w:t>区</w:t>
      </w:r>
      <w:r>
        <w:rPr>
          <w:rFonts w:hint="eastAsia" w:ascii="仿宋_GB2312" w:hAnsi="仿宋_GB2312" w:eastAsia="仿宋_GB2312" w:cs="仿宋_GB2312"/>
          <w:b/>
          <w:bCs/>
          <w:spacing w:val="-6"/>
          <w:sz w:val="32"/>
          <w:szCs w:val="32"/>
          <w:lang w:val="en-US" w:eastAsia="zh-CN"/>
        </w:rPr>
        <w:t>城市管理</w:t>
      </w:r>
      <w:r>
        <w:rPr>
          <w:rFonts w:hint="eastAsia" w:ascii="仿宋_GB2312" w:hAnsi="仿宋_GB2312" w:eastAsia="仿宋_GB2312" w:cs="仿宋_GB2312"/>
          <w:b/>
          <w:bCs/>
          <w:spacing w:val="-6"/>
          <w:sz w:val="32"/>
          <w:szCs w:val="32"/>
          <w:lang w:eastAsia="zh-CN"/>
        </w:rPr>
        <w:t>局</w:t>
      </w:r>
      <w:r>
        <w:rPr>
          <w:rFonts w:hint="eastAsia" w:ascii="仿宋_GB2312" w:hAnsi="仿宋_GB2312" w:eastAsia="仿宋_GB2312" w:cs="仿宋_GB2312"/>
          <w:b/>
          <w:bCs/>
          <w:spacing w:val="-6"/>
          <w:sz w:val="32"/>
          <w:szCs w:val="32"/>
        </w:rPr>
        <w:t>：</w:t>
      </w:r>
      <w:r>
        <w:rPr>
          <w:rFonts w:hint="eastAsia" w:ascii="Times New Roman" w:hAnsi="Times New Roman" w:eastAsia="仿宋_GB2312" w:cs="Times New Roman"/>
          <w:spacing w:val="-6"/>
          <w:sz w:val="32"/>
          <w:szCs w:val="32"/>
        </w:rPr>
        <w:t>负责行业</w:t>
      </w:r>
      <w:r>
        <w:rPr>
          <w:rFonts w:hint="eastAsia" w:ascii="Times New Roman" w:hAnsi="Times New Roman" w:eastAsia="仿宋_GB2312" w:cs="Times New Roman"/>
          <w:spacing w:val="-6"/>
          <w:sz w:val="32"/>
          <w:szCs w:val="32"/>
          <w:lang w:val="en-US" w:eastAsia="zh-CN"/>
        </w:rPr>
        <w:t>内</w:t>
      </w:r>
      <w:r>
        <w:rPr>
          <w:rFonts w:hint="eastAsia" w:ascii="Times New Roman" w:hAnsi="Times New Roman" w:eastAsia="仿宋_GB2312" w:cs="Times New Roman"/>
          <w:spacing w:val="-6"/>
          <w:sz w:val="32"/>
          <w:szCs w:val="32"/>
        </w:rPr>
        <w:t>保障农民工工资支付工作</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履行行业监管责任，督办因违法发包、转包、违法分包、挂靠、拖欠工程款等导致的拖欠农民工工资案件；指导、监督本领域未依法提供工程款支付担保的行为和施工总承包单位、分包单位未实行劳动用工实名制管理的违法行为。</w:t>
      </w:r>
    </w:p>
    <w:p w14:paraId="587C086B">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楷体_GB2312" w:hAnsi="楷体_GB2312" w:eastAsia="楷体_GB2312" w:cs="楷体_GB2312"/>
          <w:spacing w:val="-6"/>
          <w:sz w:val="32"/>
          <w:szCs w:val="32"/>
        </w:rPr>
      </w:pPr>
      <w:r>
        <w:rPr>
          <w:rFonts w:hint="eastAsia" w:ascii="仿宋_GB2312" w:hAnsi="仿宋_GB2312" w:eastAsia="仿宋_GB2312" w:cs="仿宋_GB2312"/>
          <w:b/>
          <w:bCs/>
          <w:spacing w:val="-6"/>
          <w:sz w:val="32"/>
          <w:szCs w:val="32"/>
        </w:rPr>
        <w:t>区发展改革委:</w:t>
      </w:r>
      <w:r>
        <w:rPr>
          <w:rFonts w:hint="eastAsia" w:ascii="Times New Roman" w:hAnsi="Times New Roman" w:eastAsia="仿宋_GB2312" w:cs="Times New Roman"/>
          <w:spacing w:val="-6"/>
          <w:sz w:val="32"/>
          <w:szCs w:val="32"/>
        </w:rPr>
        <w:t>负责政府投资项目的审批管理，依法审查政府投资项目的资金来源和筹措方式，按规定及时安排政府投资，加强社会信用体系建设，组织对拖欠农民工工资失信联合惩戒对象依法依规予以限制和惩戒。</w:t>
      </w:r>
    </w:p>
    <w:p w14:paraId="277CF7FF">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楷体_GB2312" w:hAnsi="楷体_GB2312" w:eastAsia="楷体_GB2312" w:cs="楷体_GB2312"/>
          <w:spacing w:val="-6"/>
          <w:sz w:val="32"/>
          <w:szCs w:val="32"/>
        </w:rPr>
      </w:pPr>
      <w:r>
        <w:rPr>
          <w:rFonts w:hint="eastAsia" w:ascii="仿宋_GB2312" w:hAnsi="仿宋_GB2312" w:eastAsia="仿宋_GB2312" w:cs="仿宋_GB2312"/>
          <w:b/>
          <w:bCs/>
          <w:color w:val="auto"/>
          <w:spacing w:val="-6"/>
          <w:sz w:val="32"/>
          <w:szCs w:val="32"/>
        </w:rPr>
        <w:t>区财政局（国资</w:t>
      </w:r>
      <w:r>
        <w:rPr>
          <w:rFonts w:hint="eastAsia" w:ascii="仿宋_GB2312" w:hAnsi="仿宋_GB2312" w:eastAsia="仿宋_GB2312" w:cs="仿宋_GB2312"/>
          <w:b/>
          <w:bCs/>
          <w:color w:val="auto"/>
          <w:spacing w:val="-6"/>
          <w:sz w:val="32"/>
          <w:szCs w:val="32"/>
          <w:lang w:val="en-US" w:eastAsia="zh-CN"/>
        </w:rPr>
        <w:t>办</w:t>
      </w:r>
      <w:r>
        <w:rPr>
          <w:rFonts w:hint="eastAsia" w:ascii="仿宋_GB2312" w:hAnsi="仿宋_GB2312" w:eastAsia="仿宋_GB2312" w:cs="仿宋_GB2312"/>
          <w:b/>
          <w:bCs/>
          <w:color w:val="auto"/>
          <w:spacing w:val="-6"/>
          <w:sz w:val="32"/>
          <w:szCs w:val="32"/>
        </w:rPr>
        <w:t>）：</w:t>
      </w:r>
      <w:r>
        <w:rPr>
          <w:rFonts w:hint="eastAsia" w:ascii="Times New Roman" w:hAnsi="Times New Roman" w:eastAsia="仿宋_GB2312" w:cs="Times New Roman"/>
          <w:spacing w:val="-6"/>
          <w:sz w:val="32"/>
          <w:szCs w:val="32"/>
        </w:rPr>
        <w:t>负责政府投资资金的预算管理，根据经批准的预算按规定及时足额拨付政府投资资金。</w:t>
      </w:r>
    </w:p>
    <w:p w14:paraId="7BFBF720">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楷体_GB2312" w:hAnsi="楷体_GB2312" w:eastAsia="楷体_GB2312" w:cs="楷体_GB2312"/>
          <w:spacing w:val="-6"/>
          <w:sz w:val="32"/>
          <w:szCs w:val="32"/>
        </w:rPr>
      </w:pPr>
      <w:r>
        <w:rPr>
          <w:rFonts w:hint="eastAsia" w:ascii="仿宋_GB2312" w:hAnsi="仿宋_GB2312" w:eastAsia="仿宋_GB2312" w:cs="仿宋_GB2312"/>
          <w:b/>
          <w:bCs/>
          <w:spacing w:val="-6"/>
          <w:sz w:val="32"/>
          <w:szCs w:val="32"/>
          <w:lang w:val="en-US" w:eastAsia="zh-CN"/>
        </w:rPr>
        <w:t>焦作市公安局中站分局</w:t>
      </w:r>
      <w:r>
        <w:rPr>
          <w:rFonts w:hint="eastAsia" w:ascii="仿宋_GB2312" w:hAnsi="仿宋_GB2312" w:eastAsia="仿宋_GB2312" w:cs="仿宋_GB2312"/>
          <w:b/>
          <w:bCs/>
          <w:spacing w:val="-6"/>
          <w:sz w:val="32"/>
          <w:szCs w:val="32"/>
        </w:rPr>
        <w:t>：</w:t>
      </w:r>
      <w:r>
        <w:rPr>
          <w:rFonts w:hint="eastAsia" w:ascii="Times New Roman" w:hAnsi="Times New Roman" w:eastAsia="仿宋_GB2312" w:cs="Times New Roman"/>
          <w:spacing w:val="-6"/>
          <w:sz w:val="32"/>
          <w:szCs w:val="32"/>
          <w:lang w:val="en-US" w:eastAsia="zh-CN"/>
        </w:rPr>
        <w:t>负责</w:t>
      </w:r>
      <w:r>
        <w:rPr>
          <w:rFonts w:hint="eastAsia" w:ascii="Times New Roman" w:hAnsi="Times New Roman" w:eastAsia="仿宋_GB2312" w:cs="Times New Roman"/>
          <w:spacing w:val="-6"/>
          <w:sz w:val="32"/>
          <w:szCs w:val="32"/>
        </w:rPr>
        <w:t>及时受理、侦办涉嫌拒不支付劳动报酬刑事案件，依法处置因农民工工资拖欠引发的社会治安案件。协助</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调查拖欠农民工工资的当事人车辆情况、对存在用人单位拒不配合调查、清偿责任主体及相关当事人无法联系等情况的拖欠农民工工资案件调查处理;依法处理单位或者个人编造虚假事实或者采取非法手段讨要农民工工资，或者以拖欠农民工工资为名讨要工程款的行为。</w:t>
      </w:r>
    </w:p>
    <w:p w14:paraId="7E02C7FB">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ascii="楷体_GB2312" w:hAnsi="楷体_GB2312" w:eastAsia="楷体_GB2312" w:cs="楷体_GB2312"/>
          <w:spacing w:val="-6"/>
          <w:sz w:val="32"/>
          <w:szCs w:val="32"/>
        </w:rPr>
      </w:pPr>
      <w:r>
        <w:rPr>
          <w:rFonts w:hint="eastAsia" w:ascii="仿宋_GB2312" w:hAnsi="仿宋_GB2312" w:eastAsia="仿宋_GB2312" w:cs="仿宋_GB2312"/>
          <w:b/>
          <w:bCs/>
          <w:spacing w:val="-6"/>
          <w:sz w:val="32"/>
          <w:szCs w:val="32"/>
          <w:lang w:val="en-US" w:eastAsia="zh-CN"/>
        </w:rPr>
        <w:t>区信访局:</w:t>
      </w:r>
      <w:r>
        <w:rPr>
          <w:rFonts w:hint="eastAsia" w:ascii="Times New Roman" w:hAnsi="Times New Roman" w:eastAsia="仿宋_GB2312" w:cs="Times New Roman"/>
          <w:spacing w:val="-6"/>
          <w:sz w:val="32"/>
          <w:szCs w:val="32"/>
          <w:lang w:val="en-US" w:eastAsia="zh-CN"/>
        </w:rPr>
        <w:t>负责</w:t>
      </w:r>
      <w:r>
        <w:rPr>
          <w:rFonts w:hint="eastAsia" w:ascii="Times New Roman" w:hAnsi="Times New Roman" w:eastAsia="仿宋_GB2312" w:cs="Times New Roman"/>
          <w:spacing w:val="-6"/>
          <w:sz w:val="32"/>
          <w:szCs w:val="32"/>
        </w:rPr>
        <w:t>做好拖欠农民工工资问题信访接待，及时转办、交办因拖欠农民工工资引发的信访事项，向相关部门移交信访欠薪问题线索。</w:t>
      </w:r>
    </w:p>
    <w:p w14:paraId="1D85DAED">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ascii="Times New Roman" w:hAnsi="Times New Roman" w:eastAsia="仿宋_GB2312" w:cs="Times New Roman"/>
          <w:spacing w:val="-6"/>
          <w:sz w:val="32"/>
          <w:szCs w:val="32"/>
        </w:rPr>
      </w:pPr>
      <w:r>
        <w:rPr>
          <w:rFonts w:hint="eastAsia" w:ascii="仿宋_GB2312" w:hAnsi="仿宋_GB2312" w:eastAsia="仿宋_GB2312" w:cs="仿宋_GB2312"/>
          <w:b/>
          <w:bCs/>
          <w:spacing w:val="-6"/>
          <w:sz w:val="32"/>
          <w:szCs w:val="32"/>
          <w:lang w:val="en-US" w:eastAsia="zh-CN"/>
        </w:rPr>
        <w:t>中站区人民法院：</w:t>
      </w:r>
      <w:r>
        <w:rPr>
          <w:rFonts w:ascii="Times New Roman" w:hAnsi="Times New Roman" w:eastAsia="仿宋_GB2312" w:cs="Times New Roman"/>
          <w:spacing w:val="-6"/>
          <w:sz w:val="32"/>
          <w:szCs w:val="32"/>
        </w:rPr>
        <w:t>负责涉嫌拒不支付劳动报酬罪案件、拖欠农民工工资民事案件的审判、执行，依法强制执行</w:t>
      </w:r>
      <w:r>
        <w:rPr>
          <w:rFonts w:hint="eastAsia" w:ascii="Times New Roman" w:hAnsi="Times New Roman" w:eastAsia="仿宋_GB2312" w:cs="Times New Roman"/>
          <w:spacing w:val="-6"/>
          <w:sz w:val="32"/>
          <w:szCs w:val="32"/>
          <w:lang w:eastAsia="zh-CN"/>
        </w:rPr>
        <w:t>区人力资源社会保障局</w:t>
      </w:r>
      <w:r>
        <w:rPr>
          <w:rFonts w:ascii="Times New Roman" w:hAnsi="Times New Roman" w:eastAsia="仿宋_GB2312" w:cs="Times New Roman"/>
          <w:spacing w:val="-6"/>
          <w:sz w:val="32"/>
          <w:szCs w:val="32"/>
        </w:rPr>
        <w:t>作出的责令支付工资处理处罚决定。</w:t>
      </w:r>
    </w:p>
    <w:p w14:paraId="41A4AF18">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ascii="Times New Roman" w:hAnsi="Times New Roman" w:eastAsia="仿宋_GB2312" w:cs="Times New Roman"/>
          <w:spacing w:val="-6"/>
          <w:sz w:val="32"/>
          <w:szCs w:val="32"/>
        </w:rPr>
      </w:pPr>
      <w:r>
        <w:rPr>
          <w:rFonts w:hint="eastAsia" w:ascii="仿宋_GB2312" w:hAnsi="仿宋_GB2312" w:eastAsia="仿宋_GB2312" w:cs="仿宋_GB2312"/>
          <w:b/>
          <w:bCs/>
          <w:spacing w:val="-6"/>
          <w:sz w:val="32"/>
          <w:szCs w:val="32"/>
          <w:lang w:val="en-US" w:eastAsia="zh-CN"/>
        </w:rPr>
        <w:t>中站区人民检察院：</w:t>
      </w:r>
      <w:r>
        <w:rPr>
          <w:rFonts w:ascii="Times New Roman" w:hAnsi="Times New Roman" w:eastAsia="仿宋_GB2312" w:cs="Times New Roman"/>
          <w:spacing w:val="-6"/>
          <w:sz w:val="32"/>
          <w:szCs w:val="32"/>
        </w:rPr>
        <w:t>负责对公安机关查办的拒不支付劳动报酬罪案</w:t>
      </w:r>
      <w:r>
        <w:rPr>
          <w:rFonts w:hint="eastAsia" w:ascii="Times New Roman" w:hAnsi="Times New Roman" w:eastAsia="仿宋_GB2312" w:cs="Times New Roman"/>
          <w:spacing w:val="-6"/>
          <w:sz w:val="32"/>
          <w:szCs w:val="32"/>
        </w:rPr>
        <w:t>件</w:t>
      </w:r>
      <w:r>
        <w:rPr>
          <w:rFonts w:ascii="Times New Roman" w:hAnsi="Times New Roman" w:eastAsia="仿宋_GB2312" w:cs="Times New Roman"/>
          <w:spacing w:val="-6"/>
          <w:sz w:val="32"/>
          <w:szCs w:val="32"/>
        </w:rPr>
        <w:t>审查逮捕和审查起诉，对拖欠农民工工资民事案件支持起诉;对相关案件进行法律监督。</w:t>
      </w:r>
    </w:p>
    <w:p w14:paraId="0F30C0A5">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ascii="Times New Roman" w:hAnsi="Times New Roman" w:eastAsia="仿宋_GB2312" w:cs="Times New Roman"/>
          <w:spacing w:val="-6"/>
          <w:sz w:val="32"/>
          <w:szCs w:val="32"/>
        </w:rPr>
      </w:pPr>
      <w:r>
        <w:rPr>
          <w:rFonts w:hint="eastAsia" w:ascii="仿宋_GB2312" w:hAnsi="仿宋_GB2312" w:eastAsia="仿宋_GB2312" w:cs="仿宋_GB2312"/>
          <w:b/>
          <w:bCs/>
          <w:spacing w:val="-6"/>
          <w:sz w:val="32"/>
          <w:szCs w:val="32"/>
          <w:lang w:val="en-US" w:eastAsia="zh-CN"/>
        </w:rPr>
        <w:t>区司法局：</w:t>
      </w:r>
      <w:r>
        <w:rPr>
          <w:rFonts w:hint="eastAsia" w:ascii="Times New Roman" w:hAnsi="Times New Roman" w:eastAsia="仿宋_GB2312" w:cs="Times New Roman"/>
          <w:spacing w:val="-6"/>
          <w:sz w:val="32"/>
          <w:szCs w:val="32"/>
          <w:lang w:val="en-US" w:eastAsia="zh-CN"/>
        </w:rPr>
        <w:t>负责</w:t>
      </w:r>
      <w:r>
        <w:rPr>
          <w:rFonts w:hint="eastAsia" w:ascii="Times New Roman" w:hAnsi="Times New Roman" w:eastAsia="仿宋_GB2312" w:cs="Times New Roman"/>
          <w:spacing w:val="-6"/>
          <w:sz w:val="32"/>
          <w:szCs w:val="32"/>
        </w:rPr>
        <w:t>将</w:t>
      </w:r>
      <w:r>
        <w:rPr>
          <w:rFonts w:ascii="Times New Roman" w:hAnsi="Times New Roman" w:eastAsia="仿宋_GB2312" w:cs="Times New Roman"/>
          <w:spacing w:val="-6"/>
          <w:sz w:val="32"/>
          <w:szCs w:val="32"/>
        </w:rPr>
        <w:t>农民工列为法律援助的重点对象，依法为请求支付工资的农民工提供便捷的法律援助。</w:t>
      </w:r>
    </w:p>
    <w:p w14:paraId="17EE6AEE">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ascii="Times New Roman" w:hAnsi="Times New Roman" w:eastAsia="仿宋_GB2312" w:cs="Times New Roman"/>
          <w:spacing w:val="-6"/>
          <w:sz w:val="32"/>
          <w:szCs w:val="32"/>
        </w:rPr>
      </w:pPr>
      <w:r>
        <w:rPr>
          <w:rFonts w:hint="eastAsia" w:ascii="仿宋_GB2312" w:hAnsi="仿宋_GB2312" w:eastAsia="仿宋_GB2312" w:cs="仿宋_GB2312"/>
          <w:b/>
          <w:bCs/>
          <w:color w:val="000000" w:themeColor="text1"/>
          <w:spacing w:val="-6"/>
          <w:sz w:val="32"/>
          <w:szCs w:val="32"/>
          <w:lang w:val="en-US" w:eastAsia="zh-CN"/>
          <w14:textFill>
            <w14:solidFill>
              <w14:schemeClr w14:val="tx1"/>
            </w14:solidFill>
          </w14:textFill>
        </w:rPr>
        <w:t>焦作经开区管委会：</w:t>
      </w:r>
      <w:r>
        <w:rPr>
          <w:rFonts w:hint="eastAsia" w:ascii="Times New Roman" w:hAnsi="Times New Roman" w:eastAsia="仿宋_GB2312" w:cs="Times New Roman"/>
          <w:spacing w:val="-6"/>
          <w:sz w:val="32"/>
          <w:szCs w:val="32"/>
        </w:rPr>
        <w:t>负责以经开区管委会为主体实施基础设施建设项目的农民工工资保障工作，在厂房建设前必须落实好农民工工资保证金和工程款担保缴纳工作，出现欠薪问题后，应主动协调化解并做好人员稳控工作。</w:t>
      </w:r>
    </w:p>
    <w:p w14:paraId="00C22AF2">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街道办事处：</w:t>
      </w:r>
      <w:r>
        <w:rPr>
          <w:rFonts w:ascii="Times New Roman" w:hAnsi="Times New Roman" w:eastAsia="仿宋_GB2312" w:cs="Times New Roman"/>
          <w:spacing w:val="-6"/>
          <w:sz w:val="32"/>
          <w:szCs w:val="32"/>
        </w:rPr>
        <w:t>负责本街道及所属社区（村）自主实施的项目（例如内部装修装饰、道路硬化等）的欠薪问题处置工作。积极配合行业建设工程主管部门，针对辖区内其他欠薪项目，做好人员稳控及协助处置工作，确保相关问题妥善解决。</w:t>
      </w:r>
      <w:r>
        <w:rPr>
          <w:rFonts w:hint="eastAsia" w:ascii="Times New Roman" w:hAnsi="Times New Roman" w:eastAsia="仿宋_GB2312" w:cs="Times New Roman"/>
          <w:spacing w:val="-6"/>
          <w:sz w:val="32"/>
          <w:szCs w:val="32"/>
          <w:lang w:val="en-US" w:eastAsia="zh-CN"/>
        </w:rPr>
        <w:t>加强对拖欠农民工工资矛盾的排查和调处工作，防范和化解矛盾，及时调解纠纷。</w:t>
      </w:r>
    </w:p>
    <w:p w14:paraId="162F25FC">
      <w:pPr>
        <w:keepNext w:val="0"/>
        <w:keepLines w:val="0"/>
        <w:pageBreakBefore w:val="0"/>
        <w:widowControl/>
        <w:numPr>
          <w:ilvl w:val="0"/>
          <w:numId w:val="0"/>
        </w:numPr>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楷体_GB2312" w:cs="Times New Roman"/>
          <w:spacing w:val="-6"/>
          <w:sz w:val="32"/>
          <w:szCs w:val="32"/>
          <w:lang w:val="en-US" w:eastAsia="zh-CN"/>
        </w:rPr>
      </w:pPr>
      <w:r>
        <w:rPr>
          <w:rFonts w:hint="eastAsia" w:ascii="Times New Roman" w:hAnsi="Times New Roman" w:eastAsia="楷体_GB2312" w:cs="Times New Roman"/>
          <w:spacing w:val="-6"/>
          <w:sz w:val="32"/>
          <w:szCs w:val="32"/>
          <w:lang w:val="en-US" w:eastAsia="zh-CN"/>
        </w:rPr>
        <w:t>（二）其他相关单位职责分工</w:t>
      </w:r>
    </w:p>
    <w:p w14:paraId="0648BC8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16" w:firstLineChars="200"/>
        <w:jc w:val="both"/>
        <w:rPr>
          <w:rFonts w:hint="default"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区工业和信息化局、区住房保障中心、中站区税务局、区市场监管局、区文化广电和旅游局、区行政审批和政务信息管理局、区总工会等单位按照各自职责做好与保障农民工工资支付的相关工作。</w:t>
      </w:r>
    </w:p>
    <w:p w14:paraId="7CE5B394">
      <w:pPr>
        <w:keepNext w:val="0"/>
        <w:keepLines w:val="0"/>
        <w:pageBreakBefore w:val="0"/>
        <w:numPr>
          <w:ilvl w:val="0"/>
          <w:numId w:val="1"/>
        </w:numPr>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黑体" w:cs="Times New Roman"/>
          <w:spacing w:val="-6"/>
          <w:sz w:val="32"/>
          <w:szCs w:val="32"/>
        </w:rPr>
      </w:pPr>
      <w:r>
        <w:rPr>
          <w:rFonts w:hint="eastAsia" w:ascii="Times New Roman" w:hAnsi="Times New Roman" w:eastAsia="黑体" w:cs="Times New Roman"/>
          <w:spacing w:val="-6"/>
          <w:sz w:val="32"/>
          <w:szCs w:val="32"/>
        </w:rPr>
        <w:t>全周期统筹控制</w:t>
      </w:r>
    </w:p>
    <w:p w14:paraId="79635635">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default" w:ascii="Times New Roman" w:hAnsi="Times New Roman" w:eastAsia="仿宋_GB2312" w:cs="Times New Roman"/>
          <w:spacing w:val="-6"/>
          <w:sz w:val="32"/>
          <w:szCs w:val="32"/>
          <w:lang w:val="en-US" w:eastAsia="zh-CN"/>
        </w:rPr>
      </w:pPr>
      <w:r>
        <w:rPr>
          <w:rFonts w:ascii="Times New Roman" w:hAnsi="Times New Roman" w:eastAsia="仿宋_GB2312" w:cs="Times New Roman"/>
          <w:spacing w:val="-6"/>
          <w:sz w:val="32"/>
          <w:szCs w:val="32"/>
        </w:rPr>
        <w:t>严格按照《保障农民工工资支付条例》规定，</w:t>
      </w:r>
      <w:r>
        <w:rPr>
          <w:rFonts w:hint="eastAsia" w:ascii="Times New Roman" w:hAnsi="Times New Roman" w:eastAsia="仿宋_GB2312" w:cs="Times New Roman"/>
          <w:spacing w:val="-6"/>
          <w:sz w:val="32"/>
          <w:szCs w:val="32"/>
        </w:rPr>
        <w:t>在监管的各个环节上实现无缝衔接。</w:t>
      </w:r>
    </w:p>
    <w:p w14:paraId="55728189">
      <w:pPr>
        <w:keepNext w:val="0"/>
        <w:keepLines w:val="0"/>
        <w:pageBreakBefore w:val="0"/>
        <w:widowControl/>
        <w:numPr>
          <w:ilvl w:val="0"/>
          <w:numId w:val="0"/>
        </w:numPr>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楷体_GB2312" w:cs="Times New Roman"/>
          <w:spacing w:val="-6"/>
          <w:sz w:val="32"/>
          <w:szCs w:val="32"/>
        </w:rPr>
      </w:pPr>
      <w:r>
        <w:rPr>
          <w:rFonts w:hint="eastAsia" w:ascii="Times New Roman" w:hAnsi="Times New Roman" w:eastAsia="楷体_GB2312" w:cs="Times New Roman"/>
          <w:spacing w:val="-6"/>
          <w:sz w:val="32"/>
          <w:szCs w:val="32"/>
          <w:lang w:eastAsia="zh-CN"/>
        </w:rPr>
        <w:t>（</w:t>
      </w:r>
      <w:r>
        <w:rPr>
          <w:rFonts w:hint="eastAsia" w:ascii="Times New Roman" w:hAnsi="Times New Roman" w:eastAsia="楷体_GB2312" w:cs="Times New Roman"/>
          <w:spacing w:val="-6"/>
          <w:sz w:val="32"/>
          <w:szCs w:val="32"/>
          <w:lang w:val="en-US" w:eastAsia="zh-CN"/>
        </w:rPr>
        <w:t>一</w:t>
      </w:r>
      <w:r>
        <w:rPr>
          <w:rFonts w:hint="eastAsia" w:ascii="Times New Roman" w:hAnsi="Times New Roman" w:eastAsia="楷体_GB2312" w:cs="Times New Roman"/>
          <w:spacing w:val="-6"/>
          <w:sz w:val="32"/>
          <w:szCs w:val="32"/>
          <w:lang w:eastAsia="zh-CN"/>
        </w:rPr>
        <w:t>）</w:t>
      </w:r>
      <w:r>
        <w:rPr>
          <w:rFonts w:hint="eastAsia" w:ascii="Times New Roman" w:hAnsi="Times New Roman" w:eastAsia="楷体_GB2312" w:cs="Times New Roman"/>
          <w:spacing w:val="-6"/>
          <w:sz w:val="32"/>
          <w:szCs w:val="32"/>
        </w:rPr>
        <w:t>项目推送</w:t>
      </w:r>
    </w:p>
    <w:p w14:paraId="369E00AD">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eastAsia="zh-CN"/>
        </w:rPr>
        <w:t>区发展改革委</w:t>
      </w:r>
      <w:r>
        <w:rPr>
          <w:rFonts w:hint="eastAsia" w:ascii="Times New Roman" w:hAnsi="Times New Roman" w:eastAsia="仿宋_GB2312" w:cs="Times New Roman"/>
          <w:spacing w:val="-6"/>
          <w:sz w:val="32"/>
          <w:szCs w:val="32"/>
        </w:rPr>
        <w:t>在收到政府投资</w:t>
      </w:r>
      <w:r>
        <w:rPr>
          <w:rFonts w:hint="eastAsia" w:ascii="Times New Roman" w:hAnsi="Times New Roman" w:eastAsia="仿宋_GB2312" w:cs="Times New Roman"/>
          <w:spacing w:val="-6"/>
          <w:sz w:val="32"/>
          <w:szCs w:val="32"/>
          <w:lang w:val="en-US" w:eastAsia="zh-CN"/>
        </w:rPr>
        <w:t>项目审批要件和</w:t>
      </w:r>
      <w:r>
        <w:rPr>
          <w:rFonts w:hint="eastAsia" w:ascii="Times New Roman" w:hAnsi="Times New Roman" w:eastAsia="仿宋_GB2312" w:cs="Times New Roman"/>
          <w:spacing w:val="-6"/>
          <w:sz w:val="32"/>
          <w:szCs w:val="32"/>
        </w:rPr>
        <w:t>企业投资项目备案</w:t>
      </w:r>
      <w:r>
        <w:rPr>
          <w:rFonts w:hint="eastAsia" w:ascii="Times New Roman" w:hAnsi="Times New Roman" w:eastAsia="仿宋_GB2312" w:cs="Times New Roman"/>
          <w:spacing w:val="-6"/>
          <w:sz w:val="32"/>
          <w:szCs w:val="32"/>
          <w:lang w:val="en-US" w:eastAsia="zh-CN"/>
        </w:rPr>
        <w:t>申请表</w:t>
      </w:r>
      <w:r>
        <w:rPr>
          <w:rFonts w:hint="eastAsia" w:ascii="Times New Roman" w:hAnsi="Times New Roman" w:eastAsia="仿宋_GB2312" w:cs="Times New Roman"/>
          <w:spacing w:val="-6"/>
          <w:sz w:val="32"/>
          <w:szCs w:val="32"/>
        </w:rPr>
        <w:t>时，各行业工程建设主管部门在收到项目审批、资金落实、施工许可等信息时，焦作经开区招商引进的企业项目落户后，中晟集团投资建设的项目招投标结束后，应在5个工作日内将项目信息推送至</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lang w:val="en-US" w:eastAsia="zh-CN"/>
        </w:rPr>
        <w:t>见附件1</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，并同步向施工单位下发《农民工工资支付保证金缴纳通知书》</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见附件2</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，要求施工总承包单位</w:t>
      </w:r>
      <w:r>
        <w:rPr>
          <w:rFonts w:hint="eastAsia" w:ascii="Times New Roman" w:hAnsi="Times New Roman" w:eastAsia="仿宋_GB2312" w:cs="Times New Roman"/>
          <w:spacing w:val="-6"/>
          <w:sz w:val="32"/>
          <w:szCs w:val="32"/>
          <w:lang w:val="en-US" w:eastAsia="zh-CN"/>
        </w:rPr>
        <w:t>按照《</w:t>
      </w:r>
      <w:r>
        <w:rPr>
          <w:rFonts w:hint="eastAsia" w:ascii="Times New Roman" w:hAnsi="Times New Roman" w:eastAsia="仿宋_GB2312" w:cs="Times New Roman"/>
          <w:spacing w:val="-6"/>
          <w:sz w:val="32"/>
          <w:szCs w:val="32"/>
        </w:rPr>
        <w:t>焦作市农民工工资保证金业务经办机构名录</w:t>
      </w:r>
      <w:r>
        <w:rPr>
          <w:rFonts w:hint="eastAsia" w:ascii="Times New Roman" w:hAnsi="Times New Roman" w:eastAsia="仿宋_GB2312" w:cs="Times New Roman"/>
          <w:spacing w:val="-6"/>
          <w:sz w:val="32"/>
          <w:szCs w:val="32"/>
          <w:lang w:val="en-US" w:eastAsia="zh-CN"/>
        </w:rPr>
        <w:t>》任选一家</w:t>
      </w:r>
      <w:r>
        <w:rPr>
          <w:rFonts w:hint="eastAsia" w:ascii="Times New Roman" w:hAnsi="Times New Roman" w:eastAsia="仿宋_GB2312" w:cs="Times New Roman"/>
          <w:spacing w:val="-6"/>
          <w:sz w:val="32"/>
          <w:szCs w:val="32"/>
        </w:rPr>
        <w:t>足额缴纳农民工工资保证金</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见附件3</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。各街道办事处对本街道及所属社区（村）自主动工维护的项目，应在开工建设前将相关信息推送至</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，并动态掌握和推送辖区内企业施工情况。</w:t>
      </w:r>
    </w:p>
    <w:p w14:paraId="3BBE4D6E">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若各单位未及时向</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推送项目信息，</w:t>
      </w:r>
      <w:r>
        <w:rPr>
          <w:rFonts w:hint="eastAsia" w:ascii="Times New Roman" w:hAnsi="Times New Roman" w:eastAsia="仿宋_GB2312" w:cs="Times New Roman"/>
          <w:spacing w:val="-6"/>
          <w:sz w:val="32"/>
          <w:szCs w:val="32"/>
          <w:lang w:val="en-US" w:eastAsia="zh-CN"/>
        </w:rPr>
        <w:t>出现</w:t>
      </w:r>
      <w:r>
        <w:rPr>
          <w:rFonts w:hint="eastAsia" w:ascii="Times New Roman" w:hAnsi="Times New Roman" w:eastAsia="仿宋_GB2312" w:cs="Times New Roman"/>
          <w:spacing w:val="-6"/>
          <w:sz w:val="32"/>
          <w:szCs w:val="32"/>
        </w:rPr>
        <w:t>农民工欠薪引发的信访事件，由未推送信息的行业主管部门向区政府作出检讨并通报全区。</w:t>
      </w:r>
    </w:p>
    <w:p w14:paraId="19277299">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楷体_GB2312" w:cs="Times New Roman"/>
          <w:spacing w:val="-6"/>
          <w:sz w:val="32"/>
          <w:szCs w:val="32"/>
        </w:rPr>
      </w:pPr>
      <w:r>
        <w:rPr>
          <w:rFonts w:hint="eastAsia" w:ascii="Times New Roman" w:hAnsi="Times New Roman" w:eastAsia="楷体_GB2312" w:cs="Times New Roman"/>
          <w:spacing w:val="-6"/>
          <w:sz w:val="32"/>
          <w:szCs w:val="32"/>
        </w:rPr>
        <w:t>（</w:t>
      </w:r>
      <w:r>
        <w:rPr>
          <w:rFonts w:hint="eastAsia" w:ascii="Times New Roman" w:hAnsi="Times New Roman" w:eastAsia="楷体_GB2312" w:cs="Times New Roman"/>
          <w:spacing w:val="-6"/>
          <w:sz w:val="32"/>
          <w:szCs w:val="32"/>
          <w:lang w:val="en-US" w:eastAsia="zh-CN"/>
        </w:rPr>
        <w:t>二</w:t>
      </w:r>
      <w:r>
        <w:rPr>
          <w:rFonts w:hint="eastAsia" w:ascii="Times New Roman" w:hAnsi="Times New Roman" w:eastAsia="楷体_GB2312" w:cs="Times New Roman"/>
          <w:spacing w:val="-6"/>
          <w:sz w:val="32"/>
          <w:szCs w:val="32"/>
        </w:rPr>
        <w:t>）</w:t>
      </w:r>
      <w:r>
        <w:rPr>
          <w:rFonts w:ascii="Times New Roman" w:hAnsi="Times New Roman" w:eastAsia="楷体_GB2312" w:cs="Times New Roman"/>
          <w:spacing w:val="-6"/>
          <w:sz w:val="32"/>
          <w:szCs w:val="32"/>
        </w:rPr>
        <w:t>落实“五金</w:t>
      </w:r>
      <w:r>
        <w:rPr>
          <w:rFonts w:hint="eastAsia" w:ascii="Times New Roman" w:hAnsi="Times New Roman" w:eastAsia="楷体_GB2312" w:cs="Times New Roman"/>
          <w:spacing w:val="-6"/>
          <w:sz w:val="32"/>
          <w:szCs w:val="32"/>
          <w:lang w:val="en-US" w:eastAsia="zh-CN"/>
        </w:rPr>
        <w:t>五</w:t>
      </w:r>
      <w:r>
        <w:rPr>
          <w:rFonts w:hint="eastAsia" w:ascii="Times New Roman" w:hAnsi="Times New Roman" w:eastAsia="楷体_GB2312" w:cs="Times New Roman"/>
          <w:spacing w:val="-6"/>
          <w:sz w:val="32"/>
          <w:szCs w:val="32"/>
        </w:rPr>
        <w:t>制</w:t>
      </w:r>
      <w:r>
        <w:rPr>
          <w:rFonts w:ascii="Times New Roman" w:hAnsi="Times New Roman" w:eastAsia="楷体_GB2312" w:cs="Times New Roman"/>
          <w:spacing w:val="-6"/>
          <w:sz w:val="32"/>
          <w:szCs w:val="32"/>
        </w:rPr>
        <w:t>”</w:t>
      </w:r>
    </w:p>
    <w:p w14:paraId="08323B77">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b/>
          <w:bCs/>
          <w:spacing w:val="-6"/>
          <w:sz w:val="32"/>
          <w:szCs w:val="32"/>
          <w:lang w:val="en-US" w:eastAsia="zh-CN"/>
        </w:rPr>
        <w:t>1.“五金”是指：</w:t>
      </w:r>
      <w:r>
        <w:rPr>
          <w:rFonts w:hint="eastAsia" w:ascii="Times New Roman" w:hAnsi="Times New Roman" w:eastAsia="仿宋_GB2312" w:cs="Times New Roman"/>
          <w:spacing w:val="-6"/>
          <w:sz w:val="32"/>
          <w:szCs w:val="32"/>
        </w:rPr>
        <w:t>建设单位应当向施工单位提供工程款支付担保，由行业工程建设主管部门负责监管，确保工程款按时足额支付。施工总承包单位应当存储工资保证金，由</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监管，专项用于支付被拖欠的农民工工资。区人民政府设立100万元农民工工资应急周转金和400万元应急储备金，由区财政局筹措资金，用于垫付被拖欠工资及应对政府投资、国有企业项目欠薪风险。区住房保障中心负责商品房预售监管资金，对存在欠薪问题的商品房项目，要与上级部门对接，优先保障人工费拨付并协调开发商解决欠薪问题。</w:t>
      </w:r>
    </w:p>
    <w:p w14:paraId="2A746B5E">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b/>
          <w:bCs/>
          <w:spacing w:val="-6"/>
          <w:sz w:val="32"/>
          <w:szCs w:val="32"/>
          <w:lang w:val="en-US" w:eastAsia="zh-CN"/>
        </w:rPr>
        <w:t>2.“五制”是指：</w:t>
      </w:r>
      <w:r>
        <w:rPr>
          <w:rFonts w:hint="default" w:ascii="Times New Roman" w:hAnsi="Times New Roman" w:eastAsia="仿宋_GB2312" w:cs="Times New Roman"/>
          <w:b w:val="0"/>
          <w:bCs w:val="0"/>
          <w:spacing w:val="-6"/>
          <w:sz w:val="32"/>
          <w:szCs w:val="32"/>
          <w:lang w:val="en-US" w:eastAsia="zh-CN"/>
        </w:rPr>
        <w:t>按时足额拨付人工费</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建</w:t>
      </w:r>
      <w:r>
        <w:rPr>
          <w:rFonts w:hint="default" w:ascii="Times New Roman" w:hAnsi="Times New Roman" w:eastAsia="仿宋_GB2312" w:cs="Times New Roman"/>
          <w:spacing w:val="-6"/>
          <w:sz w:val="32"/>
          <w:szCs w:val="32"/>
          <w:u w:val="none"/>
          <w:lang w:val="en-US" w:eastAsia="zh-CN"/>
        </w:rPr>
        <w:t>设单位应当有满足施工所需要的资金安排</w:t>
      </w:r>
      <w:r>
        <w:rPr>
          <w:rFonts w:hint="eastAsia" w:ascii="Times New Roman" w:hAnsi="Times New Roman" w:eastAsia="仿宋_GB2312" w:cs="Times New Roman"/>
          <w:spacing w:val="-6"/>
          <w:sz w:val="32"/>
          <w:szCs w:val="32"/>
          <w:u w:val="none"/>
          <w:lang w:val="en-US" w:eastAsia="zh-CN"/>
        </w:rPr>
        <w:t>，做到人工费拨付管理与其他工程款分账管理制度</w:t>
      </w:r>
      <w:r>
        <w:rPr>
          <w:rFonts w:hint="default" w:ascii="Times New Roman" w:hAnsi="Times New Roman" w:eastAsia="仿宋_GB2312" w:cs="Times New Roman"/>
          <w:spacing w:val="-6"/>
          <w:sz w:val="32"/>
          <w:szCs w:val="32"/>
          <w:lang w:val="en-US" w:eastAsia="zh-CN"/>
        </w:rPr>
        <w:t>。建设单位应当按照合同约定及时拨付工程款，并将人工费用按约定比例及时足额拨付至农民工工资专用账户</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人工费拨付应当</w:t>
      </w:r>
      <w:r>
        <w:rPr>
          <w:rFonts w:hint="eastAsia" w:ascii="Times New Roman" w:hAnsi="Times New Roman" w:eastAsia="仿宋_GB2312" w:cs="Times New Roman"/>
          <w:spacing w:val="-6"/>
          <w:sz w:val="32"/>
          <w:szCs w:val="32"/>
          <w:lang w:val="en-US" w:eastAsia="zh-CN"/>
        </w:rPr>
        <w:t>按照有关规定拨付并</w:t>
      </w:r>
      <w:r>
        <w:rPr>
          <w:rFonts w:hint="default" w:ascii="Times New Roman" w:hAnsi="Times New Roman" w:eastAsia="仿宋_GB2312" w:cs="Times New Roman"/>
          <w:spacing w:val="-6"/>
          <w:sz w:val="32"/>
          <w:szCs w:val="32"/>
          <w:lang w:val="en-US" w:eastAsia="zh-CN"/>
        </w:rPr>
        <w:t>满足农民工工资按时足额支付的要求。建设单位在项目开工前，必须按照比例将启动资金中人工费预先拨付至农民工工资专用账户。人工费用拨付周期不得超过1个月。</w:t>
      </w:r>
    </w:p>
    <w:p w14:paraId="59B46B7B">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总承包代发工资</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分包单位农民工工资必须委托施工总承包单位代发。分包单位按月考核农民工工作量并编制工资支付表，于合同约定每月工资支付日期前，与当月农民工考勤表、工程进度等情况一并交施工总承包单位。施工总承包单位根据分包单位编制的工资支付表，通过农民工工资专用账户直接将工资支付到农民工本人的银行账户并向分包单位提供代发工资凭证。</w:t>
      </w:r>
    </w:p>
    <w:p w14:paraId="7AC7DFCA">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通过农民工工资专用账户发放</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农民工工资必须通过农民工工资专用账户发给农民工本人</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农民工工资专用账户按工程建设项目开设。总</w:t>
      </w:r>
      <w:r>
        <w:rPr>
          <w:rFonts w:hint="eastAsia" w:ascii="Times New Roman" w:hAnsi="Times New Roman" w:eastAsia="仿宋_GB2312" w:cs="Times New Roman"/>
          <w:spacing w:val="-6"/>
          <w:sz w:val="32"/>
          <w:szCs w:val="32"/>
          <w:lang w:val="en-US" w:eastAsia="zh-CN"/>
        </w:rPr>
        <w:t>承</w:t>
      </w:r>
      <w:r>
        <w:rPr>
          <w:rFonts w:hint="default" w:ascii="Times New Roman" w:hAnsi="Times New Roman" w:eastAsia="仿宋_GB2312" w:cs="Times New Roman"/>
          <w:spacing w:val="-6"/>
          <w:sz w:val="32"/>
          <w:szCs w:val="32"/>
          <w:lang w:val="en-US" w:eastAsia="zh-CN"/>
        </w:rPr>
        <w:t>包单位应当在工程施工合同签订之日起 30日内开立专用账户</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总</w:t>
      </w:r>
      <w:r>
        <w:rPr>
          <w:rFonts w:hint="eastAsia" w:ascii="Times New Roman" w:hAnsi="Times New Roman" w:eastAsia="仿宋_GB2312" w:cs="Times New Roman"/>
          <w:spacing w:val="-6"/>
          <w:sz w:val="32"/>
          <w:szCs w:val="32"/>
          <w:lang w:val="en-US" w:eastAsia="zh-CN"/>
        </w:rPr>
        <w:t>承</w:t>
      </w:r>
      <w:r>
        <w:rPr>
          <w:rFonts w:hint="default" w:ascii="Times New Roman" w:hAnsi="Times New Roman" w:eastAsia="仿宋_GB2312" w:cs="Times New Roman"/>
          <w:spacing w:val="-6"/>
          <w:sz w:val="32"/>
          <w:szCs w:val="32"/>
          <w:lang w:val="en-US" w:eastAsia="zh-CN"/>
        </w:rPr>
        <w:t>包单位应当在专用账户开立后的30日内报</w:t>
      </w:r>
      <w:r>
        <w:rPr>
          <w:rFonts w:hint="eastAsia" w:ascii="Times New Roman" w:hAnsi="Times New Roman" w:eastAsia="仿宋_GB2312" w:cs="Times New Roman"/>
          <w:spacing w:val="-6"/>
          <w:sz w:val="32"/>
          <w:szCs w:val="32"/>
          <w:lang w:val="en-US" w:eastAsia="zh-CN"/>
        </w:rPr>
        <w:t>区人力资源社会保障局备案</w:t>
      </w:r>
      <w:r>
        <w:rPr>
          <w:rFonts w:hint="default" w:ascii="Times New Roman" w:hAnsi="Times New Roman" w:eastAsia="仿宋_GB2312" w:cs="Times New Roman"/>
          <w:spacing w:val="-6"/>
          <w:sz w:val="32"/>
          <w:szCs w:val="32"/>
          <w:lang w:val="en-US" w:eastAsia="zh-CN"/>
        </w:rPr>
        <w:t>。</w:t>
      </w:r>
    </w:p>
    <w:p w14:paraId="6CEF8F01">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银行发放工资</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农民工工资由农民工工资专用账户所在银行直接将工资支付到农民工本人的银行账户，用人单位或者其他人员不得以任何理由扣押或者变相扣押</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不得强制要求农民工重新办理工资卡</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农民工本人确需办理新工资卡的，优先办理具有金融功能的社会保障卡，鼓励开户银行上门办理</w:t>
      </w:r>
      <w:r>
        <w:rPr>
          <w:rFonts w:hint="eastAsia" w:ascii="Times New Roman" w:hAnsi="Times New Roman" w:eastAsia="仿宋_GB2312" w:cs="Times New Roman"/>
          <w:spacing w:val="-6"/>
          <w:sz w:val="32"/>
          <w:szCs w:val="32"/>
          <w:lang w:val="en-US" w:eastAsia="zh-CN"/>
        </w:rPr>
        <w:t>。</w:t>
      </w:r>
    </w:p>
    <w:p w14:paraId="6276FAFF">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“实名制”管理</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总</w:t>
      </w:r>
      <w:r>
        <w:rPr>
          <w:rFonts w:hint="eastAsia" w:ascii="Times New Roman" w:hAnsi="Times New Roman" w:eastAsia="仿宋_GB2312" w:cs="Times New Roman"/>
          <w:spacing w:val="-6"/>
          <w:sz w:val="32"/>
          <w:szCs w:val="32"/>
          <w:lang w:val="en-US" w:eastAsia="zh-CN"/>
        </w:rPr>
        <w:t>承</w:t>
      </w:r>
      <w:r>
        <w:rPr>
          <w:rFonts w:hint="default" w:ascii="Times New Roman" w:hAnsi="Times New Roman" w:eastAsia="仿宋_GB2312" w:cs="Times New Roman"/>
          <w:spacing w:val="-6"/>
          <w:sz w:val="32"/>
          <w:szCs w:val="32"/>
          <w:lang w:val="en-US" w:eastAsia="zh-CN"/>
        </w:rPr>
        <w:t>包单位或者分包单位应当按照相关行业工程建设主管部门的要求，依法与所招用的农民工订立劳动合同并进行用工实名登记</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对农民工实名制基本信息进行采集核实、更新，建立实名制管理合账</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工程建设项目应配备农民工实名制管理所必需的软硬件设施设备。未进行用工实名登记的人员，不得进入项目现场施工。总</w:t>
      </w:r>
      <w:r>
        <w:rPr>
          <w:rFonts w:hint="eastAsia" w:ascii="Times New Roman" w:hAnsi="Times New Roman" w:eastAsia="仿宋_GB2312" w:cs="Times New Roman"/>
          <w:spacing w:val="-6"/>
          <w:sz w:val="32"/>
          <w:szCs w:val="32"/>
          <w:lang w:val="en-US" w:eastAsia="zh-CN"/>
        </w:rPr>
        <w:t>承</w:t>
      </w:r>
      <w:r>
        <w:rPr>
          <w:rFonts w:hint="default" w:ascii="Times New Roman" w:hAnsi="Times New Roman" w:eastAsia="仿宋_GB2312" w:cs="Times New Roman"/>
          <w:spacing w:val="-6"/>
          <w:sz w:val="32"/>
          <w:szCs w:val="32"/>
          <w:lang w:val="en-US" w:eastAsia="zh-CN"/>
        </w:rPr>
        <w:t>包单位应当在工程建设项目部配备劳资专管员，对分包单位劳动用工实施监督管理,审核分包单位编制的农民工考勤表、工资支付表等工资发放资料。</w:t>
      </w:r>
    </w:p>
    <w:p w14:paraId="57D84FD2">
      <w:pPr>
        <w:pStyle w:val="4"/>
        <w:keepNext w:val="0"/>
        <w:keepLines w:val="0"/>
        <w:pageBreakBefore w:val="0"/>
        <w:kinsoku/>
        <w:wordWrap/>
        <w:overflowPunct/>
        <w:topLinePunct w:val="0"/>
        <w:autoSpaceDE/>
        <w:autoSpaceDN/>
        <w:bidi w:val="0"/>
        <w:adjustRightInd/>
        <w:snapToGrid/>
        <w:spacing w:after="0" w:line="540" w:lineRule="exact"/>
        <w:ind w:firstLine="616" w:firstLineChars="200"/>
        <w:jc w:val="both"/>
        <w:rPr>
          <w:rFonts w:ascii="Times New Roman" w:hAnsi="Times New Roman" w:eastAsia="仿宋_GB2312" w:cs="Times New Roman"/>
          <w:spacing w:val="-6"/>
          <w:sz w:val="32"/>
          <w:szCs w:val="32"/>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val="en-US" w:eastAsia="zh-CN"/>
        </w:rPr>
        <w:t>三</w:t>
      </w:r>
      <w:r>
        <w:rPr>
          <w:rFonts w:hint="eastAsia" w:ascii="楷体_GB2312" w:hAnsi="楷体_GB2312" w:eastAsia="楷体_GB2312" w:cs="楷体_GB2312"/>
          <w:spacing w:val="-6"/>
          <w:sz w:val="32"/>
          <w:szCs w:val="32"/>
        </w:rPr>
        <w:t>）加强劳动用工管理。</w:t>
      </w:r>
      <w:r>
        <w:rPr>
          <w:rFonts w:hint="eastAsia" w:ascii="Times New Roman" w:hAnsi="Times New Roman" w:eastAsia="仿宋_GB2312" w:cs="Times New Roman"/>
          <w:spacing w:val="-6"/>
          <w:sz w:val="32"/>
          <w:szCs w:val="32"/>
        </w:rPr>
        <w:t>分类完善劳动合同，用工协议范本，规范工资报酬条款。</w:t>
      </w:r>
      <w:r>
        <w:rPr>
          <w:rFonts w:hint="eastAsia" w:ascii="Times New Roman" w:hAnsi="Times New Roman" w:eastAsia="仿宋_GB2312" w:cs="Times New Roman"/>
          <w:spacing w:val="-6"/>
          <w:sz w:val="32"/>
          <w:szCs w:val="32"/>
          <w:lang w:val="en-US" w:eastAsia="zh-CN"/>
        </w:rPr>
        <w:t>对新开工</w:t>
      </w:r>
      <w:r>
        <w:rPr>
          <w:rFonts w:hint="eastAsia" w:ascii="Times New Roman" w:hAnsi="Times New Roman" w:eastAsia="仿宋_GB2312" w:cs="Times New Roman"/>
          <w:spacing w:val="-6"/>
          <w:sz w:val="32"/>
          <w:szCs w:val="32"/>
        </w:rPr>
        <w:t>项目</w:t>
      </w:r>
      <w:r>
        <w:rPr>
          <w:rFonts w:hint="eastAsia" w:ascii="Times New Roman" w:hAnsi="Times New Roman" w:eastAsia="仿宋_GB2312" w:cs="Times New Roman"/>
          <w:spacing w:val="-6"/>
          <w:sz w:val="32"/>
          <w:szCs w:val="32"/>
          <w:lang w:eastAsia="zh-CN"/>
        </w:rPr>
        <w:t>，</w:t>
      </w:r>
      <w:r>
        <w:rPr>
          <w:rFonts w:hint="eastAsia"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lang w:val="en-US" w:eastAsia="zh-CN"/>
        </w:rPr>
        <w:t>要</w:t>
      </w:r>
      <w:r>
        <w:rPr>
          <w:rFonts w:hint="eastAsia" w:ascii="Times New Roman" w:hAnsi="Times New Roman" w:eastAsia="仿宋_GB2312" w:cs="Times New Roman"/>
          <w:spacing w:val="-6"/>
          <w:sz w:val="32"/>
          <w:szCs w:val="32"/>
        </w:rPr>
        <w:t>配合项目主管部门</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属地</w:t>
      </w:r>
      <w:r>
        <w:rPr>
          <w:rFonts w:hint="eastAsia" w:ascii="Times New Roman" w:hAnsi="Times New Roman" w:eastAsia="仿宋_GB2312" w:cs="Times New Roman"/>
          <w:spacing w:val="-6"/>
          <w:sz w:val="32"/>
          <w:szCs w:val="32"/>
        </w:rPr>
        <w:t>街道对项目所有用工人员组织一次岗位维权培训和</w:t>
      </w:r>
      <w:r>
        <w:rPr>
          <w:rFonts w:hint="eastAsia" w:ascii="Times New Roman" w:hAnsi="Times New Roman" w:eastAsia="仿宋_GB2312" w:cs="Times New Roman"/>
          <w:spacing w:val="-6"/>
          <w:sz w:val="32"/>
          <w:szCs w:val="32"/>
          <w:lang w:val="en-US" w:eastAsia="zh-CN"/>
        </w:rPr>
        <w:t>劳动保障宣传</w:t>
      </w:r>
      <w:r>
        <w:rPr>
          <w:rFonts w:hint="eastAsia"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lang w:val="en-US" w:eastAsia="zh-CN"/>
        </w:rPr>
        <w:t>督促用人单位合法用工，引导劳动者合法维权。</w:t>
      </w:r>
    </w:p>
    <w:p w14:paraId="2E8428A5">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黑体" w:cs="Times New Roman"/>
          <w:spacing w:val="-6"/>
          <w:sz w:val="32"/>
          <w:szCs w:val="32"/>
        </w:rPr>
      </w:pPr>
      <w:r>
        <w:rPr>
          <w:rFonts w:hint="eastAsia" w:ascii="Times New Roman" w:hAnsi="Times New Roman" w:eastAsia="黑体" w:cs="Times New Roman"/>
          <w:spacing w:val="-6"/>
          <w:sz w:val="32"/>
          <w:szCs w:val="32"/>
          <w:lang w:eastAsia="zh-CN"/>
        </w:rPr>
        <w:t>四</w:t>
      </w:r>
      <w:r>
        <w:rPr>
          <w:rFonts w:ascii="Times New Roman" w:hAnsi="Times New Roman" w:eastAsia="黑体" w:cs="Times New Roman"/>
          <w:spacing w:val="-6"/>
          <w:sz w:val="32"/>
          <w:szCs w:val="32"/>
        </w:rPr>
        <w:t>、</w:t>
      </w:r>
      <w:r>
        <w:rPr>
          <w:rFonts w:hint="eastAsia" w:ascii="Times New Roman" w:hAnsi="Times New Roman" w:eastAsia="黑体" w:cs="Times New Roman"/>
          <w:spacing w:val="-6"/>
          <w:sz w:val="32"/>
          <w:szCs w:val="32"/>
        </w:rPr>
        <w:t>全过程实施监管</w:t>
      </w:r>
    </w:p>
    <w:p w14:paraId="6D040D89">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楷体_GB2312" w:hAnsi="楷体_GB2312" w:eastAsia="楷体_GB2312" w:cs="楷体_GB2312"/>
          <w:spacing w:val="-6"/>
          <w:sz w:val="32"/>
          <w:szCs w:val="32"/>
        </w:rPr>
      </w:pPr>
      <w:r>
        <w:rPr>
          <w:rFonts w:ascii="Times New Roman" w:hAnsi="Times New Roman" w:eastAsia="楷体_GB2312" w:cs="Times New Roman"/>
          <w:spacing w:val="-6"/>
          <w:sz w:val="32"/>
          <w:szCs w:val="32"/>
        </w:rPr>
        <w:t>（</w:t>
      </w:r>
      <w:r>
        <w:rPr>
          <w:rFonts w:hint="eastAsia" w:ascii="Times New Roman" w:hAnsi="Times New Roman" w:eastAsia="楷体_GB2312" w:cs="Times New Roman"/>
          <w:spacing w:val="-6"/>
          <w:sz w:val="32"/>
          <w:szCs w:val="32"/>
          <w:lang w:val="en-US" w:eastAsia="zh-CN"/>
        </w:rPr>
        <w:t>一</w:t>
      </w:r>
      <w:r>
        <w:rPr>
          <w:rFonts w:ascii="Times New Roman" w:hAnsi="Times New Roman" w:eastAsia="楷体_GB2312" w:cs="Times New Roman"/>
          <w:spacing w:val="-6"/>
          <w:sz w:val="32"/>
          <w:szCs w:val="32"/>
        </w:rPr>
        <w:t>）</w:t>
      </w:r>
      <w:r>
        <w:rPr>
          <w:rFonts w:hint="eastAsia" w:ascii="楷体_GB2312" w:hAnsi="楷体_GB2312" w:eastAsia="楷体_GB2312" w:cs="楷体_GB2312"/>
          <w:spacing w:val="-6"/>
          <w:sz w:val="32"/>
          <w:szCs w:val="32"/>
        </w:rPr>
        <w:t>问题交办和督导</w:t>
      </w:r>
    </w:p>
    <w:p w14:paraId="04FCD014">
      <w:pPr>
        <w:pStyle w:val="4"/>
        <w:keepNext w:val="0"/>
        <w:keepLines w:val="0"/>
        <w:pageBreakBefore w:val="0"/>
        <w:kinsoku/>
        <w:wordWrap/>
        <w:overflowPunct/>
        <w:topLinePunct w:val="0"/>
        <w:autoSpaceDE/>
        <w:autoSpaceDN/>
        <w:bidi w:val="0"/>
        <w:adjustRightInd/>
        <w:snapToGrid/>
        <w:spacing w:after="0" w:line="540" w:lineRule="exact"/>
        <w:ind w:firstLine="616" w:firstLineChars="200"/>
        <w:jc w:val="both"/>
        <w:rPr>
          <w:rFonts w:ascii="Times New Roman" w:hAnsi="Times New Roman" w:eastAsia="仿宋_GB2312" w:cs="Times New Roman"/>
          <w:spacing w:val="-6"/>
          <w:sz w:val="32"/>
          <w:szCs w:val="32"/>
        </w:rPr>
      </w:pPr>
      <w:r>
        <w:rPr>
          <w:rFonts w:hint="eastAsia" w:eastAsia="仿宋_GB2312" w:cs="Times New Roman"/>
          <w:spacing w:val="-6"/>
          <w:sz w:val="32"/>
          <w:szCs w:val="32"/>
          <w:lang w:eastAsia="zh-CN"/>
        </w:rPr>
        <w:t>区人力资源社会保障局</w:t>
      </w:r>
      <w:r>
        <w:rPr>
          <w:rFonts w:ascii="Times New Roman" w:hAnsi="Times New Roman" w:eastAsia="仿宋_GB2312" w:cs="Times New Roman"/>
          <w:spacing w:val="-6"/>
          <w:sz w:val="32"/>
          <w:szCs w:val="32"/>
        </w:rPr>
        <w:t>要切实履行好牵头部门职责，进一步畅通投诉举报渠道，通过根治欠薪平台、投诉举报电话、来人来信来函上级交办转办、日常监督检查等途径，积极收集、受理欠薪问题线索，并根据欠薪问题</w:t>
      </w:r>
      <w:r>
        <w:rPr>
          <w:rFonts w:hint="eastAsia" w:ascii="Times New Roman" w:hAnsi="Times New Roman" w:eastAsia="仿宋_GB2312" w:cs="Times New Roman"/>
          <w:spacing w:val="-6"/>
          <w:sz w:val="32"/>
          <w:szCs w:val="32"/>
        </w:rPr>
        <w:t>按</w:t>
      </w:r>
      <w:r>
        <w:rPr>
          <w:rFonts w:ascii="Times New Roman" w:hAnsi="Times New Roman" w:eastAsia="仿宋_GB2312" w:cs="Times New Roman"/>
          <w:spacing w:val="-6"/>
          <w:sz w:val="32"/>
          <w:szCs w:val="32"/>
        </w:rPr>
        <w:t>线索属地、性质、类别分别交属地街道办事处和行业</w:t>
      </w:r>
      <w:r>
        <w:rPr>
          <w:rFonts w:hint="eastAsia" w:ascii="Times New Roman" w:hAnsi="Times New Roman" w:eastAsia="仿宋_GB2312" w:cs="Times New Roman"/>
          <w:spacing w:val="-6"/>
          <w:sz w:val="32"/>
          <w:szCs w:val="32"/>
        </w:rPr>
        <w:t>工程建设</w:t>
      </w:r>
      <w:r>
        <w:rPr>
          <w:rFonts w:ascii="Times New Roman" w:hAnsi="Times New Roman" w:eastAsia="仿宋_GB2312" w:cs="Times New Roman"/>
          <w:spacing w:val="-6"/>
          <w:sz w:val="32"/>
          <w:szCs w:val="32"/>
        </w:rPr>
        <w:t>主管部门办理。</w:t>
      </w:r>
      <w:r>
        <w:rPr>
          <w:rFonts w:hint="eastAsia" w:ascii="Times New Roman" w:hAnsi="Times New Roman" w:eastAsia="仿宋_GB2312" w:cs="Times New Roman"/>
          <w:spacing w:val="-6"/>
          <w:sz w:val="32"/>
          <w:szCs w:val="32"/>
        </w:rPr>
        <w:t>对接收的问题线索，</w:t>
      </w:r>
      <w:r>
        <w:rPr>
          <w:rFonts w:hint="eastAsia" w:ascii="Times New Roman" w:hAnsi="Times New Roman" w:eastAsia="仿宋_GB2312" w:cs="Times New Roman"/>
          <w:spacing w:val="-6"/>
          <w:sz w:val="32"/>
          <w:szCs w:val="32"/>
          <w:lang w:val="en-US" w:eastAsia="zh-CN"/>
        </w:rPr>
        <w:t>实行“12345”工作制即：</w:t>
      </w:r>
      <w:r>
        <w:rPr>
          <w:rFonts w:hint="eastAsia" w:ascii="Times New Roman" w:hAnsi="Times New Roman" w:eastAsia="仿宋_GB2312" w:cs="Times New Roman"/>
          <w:spacing w:val="-6"/>
          <w:sz w:val="32"/>
          <w:szCs w:val="32"/>
        </w:rPr>
        <w:t>需在1日内交办到具体单位并明确责任人；承办单位须在2日内反馈交办情况。若3日内未明确承办单位和人员，</w:t>
      </w:r>
      <w:r>
        <w:rPr>
          <w:rFonts w:hint="eastAsia"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将发送“提醒函”；4日内无进展的，向区政府主要领导通报，并抄送欠薪情况。</w:t>
      </w:r>
      <w:r>
        <w:rPr>
          <w:rFonts w:hint="eastAsia"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对未落实交办问题线索的单位实行周调度，每周五跟进，直至问题解决。</w:t>
      </w:r>
    </w:p>
    <w:p w14:paraId="17C1F2F8">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区信访局应</w:t>
      </w:r>
      <w:r>
        <w:rPr>
          <w:rFonts w:ascii="Times New Roman" w:hAnsi="Times New Roman" w:eastAsia="仿宋_GB2312" w:cs="Times New Roman"/>
          <w:spacing w:val="-6"/>
          <w:sz w:val="32"/>
          <w:szCs w:val="32"/>
        </w:rPr>
        <w:t>发挥信访联席会议作用，对各类上访及接收的欠薪投诉，根据线索属地、性质、类别分别交属地街道办事处和行业</w:t>
      </w:r>
      <w:r>
        <w:rPr>
          <w:rFonts w:hint="eastAsia" w:ascii="Times New Roman" w:hAnsi="Times New Roman" w:eastAsia="仿宋_GB2312" w:cs="Times New Roman"/>
          <w:spacing w:val="-6"/>
          <w:sz w:val="32"/>
          <w:szCs w:val="32"/>
        </w:rPr>
        <w:t>工程建设</w:t>
      </w:r>
      <w:r>
        <w:rPr>
          <w:rFonts w:ascii="Times New Roman" w:hAnsi="Times New Roman" w:eastAsia="仿宋_GB2312" w:cs="Times New Roman"/>
          <w:spacing w:val="-6"/>
          <w:sz w:val="32"/>
          <w:szCs w:val="32"/>
        </w:rPr>
        <w:t>主管部门办理。</w:t>
      </w:r>
    </w:p>
    <w:p w14:paraId="49D21F00">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楷体_GB2312" w:hAnsi="楷体_GB2312" w:eastAsia="楷体_GB2312" w:cs="楷体_GB2312"/>
          <w:spacing w:val="-6"/>
          <w:sz w:val="32"/>
          <w:szCs w:val="32"/>
        </w:rPr>
      </w:pPr>
      <w:r>
        <w:rPr>
          <w:rFonts w:hint="eastAsia" w:ascii="Times New Roman" w:hAnsi="Times New Roman" w:eastAsia="仿宋_GB2312" w:cs="Times New Roman"/>
          <w:spacing w:val="-6"/>
          <w:sz w:val="32"/>
          <w:szCs w:val="32"/>
        </w:rPr>
        <w:t>各相关单位</w:t>
      </w:r>
      <w:r>
        <w:rPr>
          <w:rFonts w:ascii="Times New Roman" w:hAnsi="Times New Roman" w:eastAsia="仿宋_GB2312" w:cs="Times New Roman"/>
          <w:spacing w:val="-6"/>
          <w:sz w:val="32"/>
          <w:szCs w:val="32"/>
        </w:rPr>
        <w:t>要关注网络舆情，加强监测管控，</w:t>
      </w:r>
      <w:r>
        <w:rPr>
          <w:rFonts w:hint="eastAsia" w:ascii="Times New Roman" w:hAnsi="Times New Roman" w:eastAsia="仿宋_GB2312" w:cs="Times New Roman"/>
          <w:spacing w:val="-6"/>
          <w:sz w:val="32"/>
          <w:szCs w:val="32"/>
        </w:rPr>
        <w:t>及时处置</w:t>
      </w:r>
      <w:r>
        <w:rPr>
          <w:rFonts w:ascii="Times New Roman" w:hAnsi="Times New Roman" w:eastAsia="仿宋_GB2312" w:cs="Times New Roman"/>
          <w:spacing w:val="-6"/>
          <w:sz w:val="32"/>
          <w:szCs w:val="32"/>
        </w:rPr>
        <w:t>。</w:t>
      </w:r>
    </w:p>
    <w:p w14:paraId="3D353E44">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val="en-US" w:eastAsia="zh-CN"/>
        </w:rPr>
        <w:t>二</w:t>
      </w:r>
      <w:r>
        <w:rPr>
          <w:rFonts w:hint="eastAsia" w:ascii="楷体_GB2312" w:hAnsi="楷体_GB2312" w:eastAsia="楷体_GB2312" w:cs="楷体_GB2312"/>
          <w:spacing w:val="-6"/>
          <w:sz w:val="32"/>
          <w:szCs w:val="32"/>
        </w:rPr>
        <w:t>）日常监督管理</w:t>
      </w:r>
    </w:p>
    <w:p w14:paraId="7042E325">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Times New Roman" w:hAnsi="Times New Roman" w:eastAsia="仿宋_GB2312" w:cs="Times New Roman"/>
          <w:spacing w:val="-6"/>
          <w:sz w:val="32"/>
          <w:szCs w:val="32"/>
        </w:rPr>
      </w:pPr>
      <w:r>
        <w:rPr>
          <w:rFonts w:hint="eastAsia" w:ascii="仿宋_GB2312" w:hAnsi="仿宋_GB2312" w:eastAsia="仿宋_GB2312" w:cs="仿宋_GB2312"/>
          <w:b/>
          <w:bCs/>
          <w:spacing w:val="-6"/>
          <w:sz w:val="32"/>
          <w:szCs w:val="32"/>
        </w:rPr>
        <w:t>建立项目监管责任制。</w:t>
      </w:r>
      <w:r>
        <w:rPr>
          <w:rFonts w:hint="eastAsia" w:ascii="Times New Roman" w:hAnsi="Times New Roman" w:eastAsia="仿宋_GB2312" w:cs="Times New Roman"/>
          <w:spacing w:val="-6"/>
          <w:sz w:val="32"/>
          <w:szCs w:val="32"/>
        </w:rPr>
        <w:t>各行业工程建设主管部门负责对各自领域内的在建项目分包到人，明确分包领导和具体责任人，分包责任人要对分包项目农民工工资支付工作实施全过程监管，定期对分包项目进行检查，对发生过拖欠工资的企业实行重点监控并要求其定期申报。企业确因生产经营困难等原因需要延期支付农民工工资的，应及时向</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报告。</w:t>
      </w:r>
    </w:p>
    <w:p w14:paraId="17311AE7">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default" w:ascii="Times New Roman" w:hAnsi="Times New Roman" w:eastAsia="仿宋_GB2312" w:cs="Times New Roman"/>
          <w:color w:val="FF0000"/>
          <w:spacing w:val="-6"/>
          <w:sz w:val="32"/>
          <w:szCs w:val="32"/>
          <w:lang w:val="en-US" w:eastAsia="zh-CN"/>
        </w:rPr>
      </w:pPr>
      <w:r>
        <w:rPr>
          <w:rFonts w:hint="eastAsia" w:ascii="仿宋_GB2312" w:hAnsi="仿宋_GB2312" w:eastAsia="仿宋_GB2312" w:cs="仿宋_GB2312"/>
          <w:b/>
          <w:bCs/>
          <w:spacing w:val="-6"/>
          <w:sz w:val="32"/>
          <w:szCs w:val="32"/>
        </w:rPr>
        <w:t>实施常态化检查监督。</w:t>
      </w:r>
      <w:r>
        <w:rPr>
          <w:rFonts w:hint="eastAsia" w:ascii="Times New Roman" w:hAnsi="Times New Roman" w:eastAsia="仿宋_GB2312" w:cs="Times New Roman"/>
          <w:spacing w:val="-6"/>
          <w:sz w:val="32"/>
          <w:szCs w:val="32"/>
          <w:lang w:val="en-US" w:eastAsia="zh-CN"/>
        </w:rPr>
        <w:t>区人力资源社会保障局和区住房城乡建设局等各行业部门加强对在建项目进行</w:t>
      </w:r>
      <w:r>
        <w:rPr>
          <w:rFonts w:hint="eastAsia" w:ascii="Times New Roman" w:hAnsi="Times New Roman" w:eastAsia="仿宋_GB2312" w:cs="Times New Roman"/>
          <w:spacing w:val="-6"/>
          <w:sz w:val="32"/>
          <w:szCs w:val="32"/>
        </w:rPr>
        <w:t>联合巡查督导</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检查的重点为劳动合同签订、实名制管理、人工费拨付、工资发放、维权公示及农民工工资支付监管系统使用和维护情况</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对发现的问题应当场纠正，立即启动相关程序，责令限期整改，对拒不整改或整改不积极不到位的，依法予以行政处理或处罚，符合列入失信联合惩戒的纳入失信联合惩戒</w:t>
      </w:r>
      <w:r>
        <w:rPr>
          <w:rFonts w:hint="eastAsia" w:ascii="Times New Roman" w:hAnsi="Times New Roman" w:eastAsia="仿宋_GB2312" w:cs="Times New Roman"/>
          <w:spacing w:val="-6"/>
          <w:sz w:val="32"/>
          <w:szCs w:val="32"/>
          <w:lang w:eastAsia="zh-CN"/>
        </w:rPr>
        <w:t>。</w:t>
      </w:r>
    </w:p>
    <w:p w14:paraId="7B2E48B9">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val="en-US" w:eastAsia="zh-CN"/>
        </w:rPr>
        <w:t>三</w:t>
      </w:r>
      <w:r>
        <w:rPr>
          <w:rFonts w:hint="eastAsia" w:ascii="楷体_GB2312" w:hAnsi="楷体_GB2312" w:eastAsia="楷体_GB2312" w:cs="楷体_GB2312"/>
          <w:spacing w:val="-6"/>
          <w:sz w:val="32"/>
          <w:szCs w:val="32"/>
        </w:rPr>
        <w:t>）协调处置</w:t>
      </w:r>
    </w:p>
    <w:p w14:paraId="30FAB00B">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落实清偿欠薪责任。</w:t>
      </w:r>
      <w:r>
        <w:rPr>
          <w:rFonts w:hint="eastAsia" w:ascii="Times New Roman" w:hAnsi="Times New Roman" w:eastAsia="仿宋_GB2312" w:cs="Times New Roman"/>
          <w:spacing w:val="-6"/>
          <w:sz w:val="32"/>
          <w:szCs w:val="32"/>
          <w:lang w:val="en-US" w:eastAsia="zh-CN"/>
        </w:rPr>
        <w:t>用人单位</w:t>
      </w:r>
      <w:r>
        <w:rPr>
          <w:rFonts w:hint="eastAsia" w:ascii="Times New Roman" w:hAnsi="Times New Roman" w:eastAsia="仿宋_GB2312" w:cs="Times New Roman"/>
          <w:spacing w:val="-6"/>
          <w:sz w:val="32"/>
          <w:szCs w:val="32"/>
        </w:rPr>
        <w:t>承担直接清偿拖欠农民工工资的主体责任。在工程建设领域，建设单位或施工总承包企业未按合同约定及时划拨工程款，致使分包企业拖欠农民工工资的，由建设单位或施工总承包企业以未结清的工程款为限先行垫付农民工工资。建设单位或施工总承包企业将工程违法发包、转包或违法分包致使拖欠农民工工资的，由建设单位或施工总承包企业依法承担清偿责任。因合同纠纷、股权纠纷、工价、工程量认定及工程质量有异议造成的欠薪问题，由招投标方协助投诉人走司法程序并做好稳控工作。</w:t>
      </w:r>
    </w:p>
    <w:p w14:paraId="3037E31D">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Times New Roman" w:hAnsi="Times New Roman" w:eastAsia="仿宋_GB2312" w:cs="Times New Roman"/>
          <w:spacing w:val="-6"/>
          <w:sz w:val="32"/>
          <w:szCs w:val="32"/>
        </w:rPr>
      </w:pPr>
      <w:r>
        <w:rPr>
          <w:rFonts w:hint="eastAsia" w:ascii="仿宋_GB2312" w:hAnsi="仿宋_GB2312" w:eastAsia="仿宋_GB2312" w:cs="仿宋_GB2312"/>
          <w:b/>
          <w:bCs/>
          <w:spacing w:val="-6"/>
          <w:sz w:val="32"/>
          <w:szCs w:val="32"/>
        </w:rPr>
        <w:t>分系统处置欠薪。</w:t>
      </w:r>
      <w:r>
        <w:rPr>
          <w:rFonts w:ascii="Times New Roman" w:hAnsi="Times New Roman" w:eastAsia="仿宋_GB2312" w:cs="Times New Roman"/>
          <w:spacing w:val="-6"/>
          <w:sz w:val="32"/>
          <w:szCs w:val="32"/>
        </w:rPr>
        <w:t>各行业工程建设主管部门要</w:t>
      </w:r>
      <w:r>
        <w:rPr>
          <w:rFonts w:hint="eastAsia" w:ascii="Times New Roman" w:hAnsi="Times New Roman" w:eastAsia="仿宋_GB2312" w:cs="Times New Roman"/>
          <w:spacing w:val="-6"/>
          <w:sz w:val="32"/>
          <w:szCs w:val="32"/>
        </w:rPr>
        <w:t>落实监管责任，管行业就要管欠薪</w:t>
      </w:r>
      <w:r>
        <w:rPr>
          <w:rFonts w:ascii="Times New Roman" w:hAnsi="Times New Roman" w:eastAsia="仿宋_GB2312" w:cs="Times New Roman"/>
          <w:spacing w:val="-6"/>
          <w:sz w:val="32"/>
          <w:szCs w:val="32"/>
        </w:rPr>
        <w:t>，主动接收、受理</w:t>
      </w:r>
      <w:r>
        <w:rPr>
          <w:rFonts w:hint="eastAsia" w:ascii="Times New Roman" w:hAnsi="Times New Roman" w:eastAsia="仿宋_GB2312" w:cs="Times New Roman"/>
          <w:spacing w:val="-6"/>
          <w:sz w:val="32"/>
          <w:szCs w:val="32"/>
        </w:rPr>
        <w:t>本行业本系统的欠薪问题线索，</w:t>
      </w:r>
      <w:r>
        <w:rPr>
          <w:rFonts w:ascii="Times New Roman" w:hAnsi="Times New Roman" w:eastAsia="仿宋_GB2312" w:cs="Times New Roman"/>
          <w:spacing w:val="-6"/>
          <w:sz w:val="32"/>
          <w:szCs w:val="32"/>
        </w:rPr>
        <w:t>督办因违法发包、转包、违法分包、挂靠、拖欠工程款等导致的拖欠农民工工资案件</w:t>
      </w:r>
      <w:r>
        <w:rPr>
          <w:rFonts w:hint="eastAsia" w:ascii="Times New Roman" w:hAnsi="Times New Roman" w:eastAsia="仿宋_GB2312" w:cs="Times New Roman"/>
          <w:spacing w:val="-6"/>
          <w:sz w:val="32"/>
          <w:szCs w:val="32"/>
        </w:rPr>
        <w:t>。关于市级投资建设或市级审批但施工地在中站辖区的项目及跨境项目，若出现的欠薪问题，由行业建设主管部门负责与上级主管部门对接协调解决，并做好人员稳控工作。</w:t>
      </w:r>
    </w:p>
    <w:p w14:paraId="73D71D90">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Times New Roman" w:hAnsi="Times New Roman" w:eastAsia="仿宋_GB2312" w:cs="Times New Roman"/>
          <w:spacing w:val="-6"/>
          <w:sz w:val="32"/>
          <w:szCs w:val="32"/>
        </w:rPr>
      </w:pPr>
      <w:r>
        <w:rPr>
          <w:rFonts w:hint="eastAsia" w:ascii="仿宋_GB2312" w:hAnsi="仿宋_GB2312" w:eastAsia="仿宋_GB2312" w:cs="仿宋_GB2312"/>
          <w:b/>
          <w:bCs/>
          <w:spacing w:val="-6"/>
          <w:sz w:val="32"/>
          <w:szCs w:val="32"/>
        </w:rPr>
        <w:t>专项资金项目欠薪问题处置</w:t>
      </w:r>
      <w:r>
        <w:rPr>
          <w:rFonts w:hint="eastAsia" w:ascii="Times New Roman" w:hAnsi="Times New Roman" w:eastAsia="仿宋_GB2312" w:cs="Times New Roman"/>
          <w:spacing w:val="-6"/>
          <w:sz w:val="32"/>
          <w:szCs w:val="32"/>
        </w:rPr>
        <w:t>（包含：政府专项债、超长期国债、中央预算内投资）。</w:t>
      </w:r>
      <w:r>
        <w:rPr>
          <w:rFonts w:ascii="Times New Roman" w:hAnsi="Times New Roman" w:eastAsia="仿宋_GB2312" w:cs="Times New Roman"/>
          <w:spacing w:val="-6"/>
          <w:sz w:val="32"/>
          <w:szCs w:val="32"/>
        </w:rPr>
        <w:t>由</w:t>
      </w:r>
      <w:r>
        <w:rPr>
          <w:rFonts w:hint="eastAsia" w:ascii="Times New Roman" w:hAnsi="Times New Roman" w:eastAsia="仿宋_GB2312" w:cs="Times New Roman"/>
          <w:spacing w:val="-6"/>
          <w:sz w:val="32"/>
          <w:szCs w:val="32"/>
        </w:rPr>
        <w:t>街道</w:t>
      </w:r>
      <w:r>
        <w:rPr>
          <w:rFonts w:ascii="Times New Roman" w:hAnsi="Times New Roman" w:eastAsia="仿宋_GB2312" w:cs="Times New Roman"/>
          <w:spacing w:val="-6"/>
          <w:sz w:val="32"/>
          <w:szCs w:val="32"/>
        </w:rPr>
        <w:t>办事处直接进行招投标并签订施工合同的</w:t>
      </w:r>
      <w:r>
        <w:rPr>
          <w:rFonts w:hint="eastAsia" w:ascii="Times New Roman" w:hAnsi="Times New Roman" w:eastAsia="仿宋_GB2312" w:cs="Times New Roman"/>
          <w:spacing w:val="-6"/>
          <w:sz w:val="32"/>
          <w:szCs w:val="32"/>
        </w:rPr>
        <w:t>项目</w:t>
      </w:r>
      <w:r>
        <w:rPr>
          <w:rFonts w:ascii="Times New Roman" w:hAnsi="Times New Roman" w:eastAsia="仿宋_GB2312" w:cs="Times New Roman"/>
          <w:spacing w:val="-6"/>
          <w:sz w:val="32"/>
          <w:szCs w:val="32"/>
        </w:rPr>
        <w:t>，则该欠薪问题的处理责任主体为</w:t>
      </w:r>
      <w:r>
        <w:rPr>
          <w:rFonts w:hint="eastAsia" w:ascii="Times New Roman" w:hAnsi="Times New Roman" w:eastAsia="仿宋_GB2312" w:cs="Times New Roman"/>
          <w:spacing w:val="-6"/>
          <w:sz w:val="32"/>
          <w:szCs w:val="32"/>
        </w:rPr>
        <w:t>街道</w:t>
      </w:r>
      <w:r>
        <w:rPr>
          <w:rFonts w:ascii="Times New Roman" w:hAnsi="Times New Roman" w:eastAsia="仿宋_GB2312" w:cs="Times New Roman"/>
          <w:spacing w:val="-6"/>
          <w:sz w:val="32"/>
          <w:szCs w:val="32"/>
        </w:rPr>
        <w:t>办事处，负责全程跟踪、协调和解决</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施工地为办事处，项目为行业主管部门招投标的，行业主管部门负总责处置欠薪问题，</w:t>
      </w:r>
      <w:r>
        <w:rPr>
          <w:rFonts w:hint="eastAsia" w:ascii="Times New Roman" w:hAnsi="Times New Roman" w:eastAsia="仿宋_GB2312" w:cs="Times New Roman"/>
          <w:spacing w:val="-6"/>
          <w:sz w:val="32"/>
          <w:szCs w:val="32"/>
        </w:rPr>
        <w:t>街道</w:t>
      </w:r>
      <w:r>
        <w:rPr>
          <w:rFonts w:ascii="Times New Roman" w:hAnsi="Times New Roman" w:eastAsia="仿宋_GB2312" w:cs="Times New Roman"/>
          <w:spacing w:val="-6"/>
          <w:sz w:val="32"/>
          <w:szCs w:val="32"/>
        </w:rPr>
        <w:t>办事处配合做好人员稳控工作。</w:t>
      </w:r>
    </w:p>
    <w:p w14:paraId="7AB24AF9">
      <w:pPr>
        <w:keepNext w:val="0"/>
        <w:keepLines w:val="0"/>
        <w:pageBreakBefore w:val="0"/>
        <w:suppressAutoHyphens/>
        <w:kinsoku/>
        <w:wordWrap/>
        <w:overflowPunct/>
        <w:topLinePunct w:val="0"/>
        <w:autoSpaceDE/>
        <w:autoSpaceDN/>
        <w:bidi w:val="0"/>
        <w:adjustRightInd/>
        <w:snapToGrid/>
        <w:spacing w:line="540" w:lineRule="exact"/>
        <w:ind w:firstLine="619" w:firstLineChars="200"/>
        <w:jc w:val="both"/>
        <w:rPr>
          <w:rFonts w:hint="eastAsia" w:ascii="Times New Roman" w:hAnsi="Times New Roman" w:eastAsia="黑体" w:cs="Times New Roman"/>
          <w:spacing w:val="-6"/>
          <w:sz w:val="32"/>
          <w:szCs w:val="32"/>
        </w:rPr>
      </w:pPr>
      <w:r>
        <w:rPr>
          <w:rFonts w:hint="eastAsia" w:ascii="仿宋_GB2312" w:hAnsi="仿宋_GB2312" w:eastAsia="仿宋_GB2312" w:cs="仿宋_GB2312"/>
          <w:b/>
          <w:bCs/>
          <w:spacing w:val="-6"/>
          <w:sz w:val="32"/>
          <w:szCs w:val="32"/>
        </w:rPr>
        <w:t>其他领域欠薪问题处置。</w:t>
      </w:r>
      <w:bookmarkStart w:id="2" w:name="OLE_LINK6"/>
      <w:bookmarkStart w:id="3" w:name="OLE_LINK5"/>
      <w:r>
        <w:rPr>
          <w:rFonts w:hint="eastAsia" w:ascii="Times New Roman" w:hAnsi="Times New Roman" w:eastAsia="仿宋_GB2312" w:cs="Times New Roman"/>
          <w:spacing w:val="-6"/>
          <w:sz w:val="32"/>
          <w:szCs w:val="32"/>
        </w:rPr>
        <w:t>财政、环卫、城管、住房保障、教育、卫健、交通、农业农村、文旅等部门负责做好各自领域内招工和使用农民工欠薪问题的处置。</w:t>
      </w:r>
      <w:bookmarkEnd w:id="2"/>
      <w:bookmarkEnd w:id="3"/>
    </w:p>
    <w:p w14:paraId="5F174E91">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ascii="Times New Roman" w:hAnsi="Times New Roman" w:eastAsia="黑体" w:cs="Times New Roman"/>
          <w:spacing w:val="-6"/>
          <w:sz w:val="32"/>
          <w:szCs w:val="32"/>
        </w:rPr>
      </w:pPr>
      <w:r>
        <w:rPr>
          <w:rFonts w:hint="eastAsia" w:ascii="Times New Roman" w:hAnsi="Times New Roman" w:eastAsia="黑体" w:cs="Times New Roman"/>
          <w:spacing w:val="-6"/>
          <w:sz w:val="32"/>
          <w:szCs w:val="32"/>
          <w:lang w:eastAsia="zh-CN"/>
        </w:rPr>
        <w:t>五</w:t>
      </w:r>
      <w:r>
        <w:rPr>
          <w:rFonts w:ascii="Times New Roman" w:hAnsi="Times New Roman" w:eastAsia="黑体" w:cs="Times New Roman"/>
          <w:spacing w:val="-6"/>
          <w:sz w:val="32"/>
          <w:szCs w:val="32"/>
        </w:rPr>
        <w:t>、相关工作要求</w:t>
      </w:r>
    </w:p>
    <w:p w14:paraId="75175552">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仿宋_GB2312" w:cs="Times New Roman"/>
          <w:spacing w:val="-6"/>
          <w:sz w:val="32"/>
          <w:szCs w:val="32"/>
        </w:rPr>
      </w:pPr>
      <w:r>
        <w:rPr>
          <w:rFonts w:ascii="Times New Roman" w:hAnsi="Times New Roman" w:eastAsia="楷体_GB2312" w:cs="Times New Roman"/>
          <w:spacing w:val="-6"/>
          <w:sz w:val="32"/>
          <w:szCs w:val="32"/>
        </w:rPr>
        <w:t>（</w:t>
      </w:r>
      <w:r>
        <w:rPr>
          <w:rFonts w:hint="eastAsia" w:ascii="Times New Roman" w:hAnsi="Times New Roman" w:eastAsia="楷体_GB2312" w:cs="Times New Roman"/>
          <w:spacing w:val="-6"/>
          <w:sz w:val="32"/>
          <w:szCs w:val="32"/>
          <w:lang w:val="en-US" w:eastAsia="zh-CN"/>
        </w:rPr>
        <w:t>一</w:t>
      </w:r>
      <w:r>
        <w:rPr>
          <w:rFonts w:ascii="Times New Roman" w:hAnsi="Times New Roman" w:eastAsia="楷体_GB2312" w:cs="Times New Roman"/>
          <w:spacing w:val="-6"/>
          <w:sz w:val="32"/>
          <w:szCs w:val="32"/>
        </w:rPr>
        <w:t>）加强组织领导。</w:t>
      </w:r>
      <w:r>
        <w:rPr>
          <w:rFonts w:hint="eastAsia" w:ascii="Times New Roman" w:hAnsi="Times New Roman" w:eastAsia="仿宋_GB2312" w:cs="Times New Roman"/>
          <w:spacing w:val="-6"/>
          <w:sz w:val="32"/>
          <w:szCs w:val="32"/>
        </w:rPr>
        <w:t>区政府办公室应完善高质量目标考核方案，将保障农民工工资支付纳入政府考核评价指标体系。对拖欠农民工工资问题高发频发、举报投诉量大的企业或项目进行重点督查。健全问责制度，对监管责任落实不到位、组织工作不到位的，要严格责任追究。</w:t>
      </w:r>
    </w:p>
    <w:p w14:paraId="6AAAC835">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宋体" w:cs="Times New Roman"/>
          <w:spacing w:val="-6"/>
        </w:rPr>
      </w:pPr>
      <w:r>
        <w:rPr>
          <w:rFonts w:hint="eastAsia" w:ascii="Times New Roman" w:hAnsi="Times New Roman" w:eastAsia="楷体_GB2312" w:cs="Times New Roman"/>
          <w:spacing w:val="-6"/>
          <w:sz w:val="32"/>
          <w:szCs w:val="32"/>
        </w:rPr>
        <w:t>（</w:t>
      </w:r>
      <w:r>
        <w:rPr>
          <w:rFonts w:hint="eastAsia" w:ascii="Times New Roman" w:hAnsi="Times New Roman" w:eastAsia="楷体_GB2312" w:cs="Times New Roman"/>
          <w:spacing w:val="-6"/>
          <w:sz w:val="32"/>
          <w:szCs w:val="32"/>
          <w:lang w:val="en-US" w:eastAsia="zh-CN"/>
        </w:rPr>
        <w:t>二</w:t>
      </w:r>
      <w:r>
        <w:rPr>
          <w:rFonts w:hint="eastAsia" w:ascii="Times New Roman" w:hAnsi="Times New Roman" w:eastAsia="楷体_GB2312" w:cs="Times New Roman"/>
          <w:spacing w:val="-6"/>
          <w:sz w:val="32"/>
          <w:szCs w:val="32"/>
        </w:rPr>
        <w:t>）强化部门联动。</w:t>
      </w:r>
      <w:r>
        <w:rPr>
          <w:rFonts w:hint="eastAsia" w:ascii="Times New Roman" w:hAnsi="Times New Roman" w:eastAsia="仿宋_GB2312" w:cs="Times New Roman"/>
          <w:spacing w:val="-6"/>
          <w:sz w:val="32"/>
          <w:szCs w:val="32"/>
        </w:rPr>
        <w:t>健全解决拖欠农民工工资问题的联席会议制度，沟通会商由</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牵头组织，相关部门认为有必要的，可以向</w:t>
      </w:r>
      <w:r>
        <w:rPr>
          <w:rFonts w:hint="eastAsia" w:ascii="Times New Roman" w:hAnsi="Times New Roman" w:eastAsia="仿宋_GB2312" w:cs="Times New Roman"/>
          <w:spacing w:val="-6"/>
          <w:sz w:val="32"/>
          <w:szCs w:val="32"/>
          <w:lang w:eastAsia="zh-CN"/>
        </w:rPr>
        <w:t>区人力资源社会保障局</w:t>
      </w:r>
      <w:r>
        <w:rPr>
          <w:rFonts w:hint="eastAsia" w:ascii="Times New Roman" w:hAnsi="Times New Roman" w:eastAsia="仿宋_GB2312" w:cs="Times New Roman"/>
          <w:spacing w:val="-6"/>
          <w:sz w:val="32"/>
          <w:szCs w:val="32"/>
        </w:rPr>
        <w:t>提议，随时组织进行。对会商达成的共识和确定的工作任务，各相关部门要立足本单位职能职责，自觉执行、积极落实，形成根治欠薪工作合力。</w:t>
      </w:r>
    </w:p>
    <w:p w14:paraId="20EAD2C1">
      <w:pPr>
        <w:keepNext w:val="0"/>
        <w:keepLines w:val="0"/>
        <w:pageBreakBefore w:val="0"/>
        <w:suppressAutoHyphens/>
        <w:kinsoku/>
        <w:wordWrap/>
        <w:overflowPunct/>
        <w:topLinePunct w:val="0"/>
        <w:autoSpaceDE/>
        <w:autoSpaceDN/>
        <w:bidi w:val="0"/>
        <w:adjustRightInd/>
        <w:snapToGrid/>
        <w:spacing w:line="540" w:lineRule="exact"/>
        <w:ind w:firstLine="616" w:firstLineChars="200"/>
        <w:jc w:val="both"/>
        <w:rPr>
          <w:rFonts w:hint="eastAsia" w:ascii="Times New Roman" w:hAnsi="Times New Roman" w:eastAsia="楷体_GB2312" w:cs="Times New Roman"/>
          <w:spacing w:val="-6"/>
          <w:sz w:val="32"/>
          <w:szCs w:val="32"/>
        </w:rPr>
      </w:pPr>
      <w:r>
        <w:rPr>
          <w:rFonts w:hint="eastAsia" w:ascii="Times New Roman" w:hAnsi="Times New Roman" w:eastAsia="楷体_GB2312" w:cs="Times New Roman"/>
          <w:spacing w:val="-6"/>
          <w:sz w:val="32"/>
          <w:szCs w:val="32"/>
        </w:rPr>
        <w:t>（</w:t>
      </w:r>
      <w:r>
        <w:rPr>
          <w:rFonts w:hint="eastAsia" w:ascii="Times New Roman" w:hAnsi="Times New Roman" w:eastAsia="楷体_GB2312" w:cs="Times New Roman"/>
          <w:spacing w:val="-6"/>
          <w:sz w:val="32"/>
          <w:szCs w:val="32"/>
          <w:lang w:val="en-US" w:eastAsia="zh-CN"/>
        </w:rPr>
        <w:t>三</w:t>
      </w:r>
      <w:r>
        <w:rPr>
          <w:rFonts w:hint="eastAsia" w:ascii="Times New Roman" w:hAnsi="Times New Roman" w:eastAsia="楷体_GB2312" w:cs="Times New Roman"/>
          <w:spacing w:val="-6"/>
          <w:sz w:val="32"/>
          <w:szCs w:val="32"/>
        </w:rPr>
        <w:t>）加强应急处置。</w:t>
      </w:r>
      <w:r>
        <w:rPr>
          <w:rFonts w:hint="eastAsia" w:ascii="Times New Roman" w:hAnsi="Times New Roman" w:eastAsia="仿宋_GB2312" w:cs="Times New Roman"/>
          <w:spacing w:val="-6"/>
          <w:sz w:val="32"/>
          <w:szCs w:val="32"/>
        </w:rPr>
        <w:t>各街道办事处和各行业工程建设主管部门，应建立健全快速反</w:t>
      </w:r>
      <w:r>
        <w:rPr>
          <w:rFonts w:hint="eastAsia" w:ascii="Times New Roman" w:hAnsi="Times New Roman" w:eastAsia="仿宋_GB2312" w:cs="Times New Roman"/>
          <w:spacing w:val="-6"/>
          <w:sz w:val="32"/>
          <w:szCs w:val="32"/>
          <w:lang w:val="en-US" w:eastAsia="zh-CN"/>
        </w:rPr>
        <w:t>应</w:t>
      </w:r>
      <w:r>
        <w:rPr>
          <w:rFonts w:hint="eastAsia" w:ascii="Times New Roman" w:hAnsi="Times New Roman" w:eastAsia="仿宋_GB2312" w:cs="Times New Roman"/>
          <w:spacing w:val="-6"/>
          <w:sz w:val="32"/>
          <w:szCs w:val="32"/>
        </w:rPr>
        <w:t>机制，严格落实首问负责制，防止推诿扯皮。充分运用工程款支付担保金、农民工工资保证金、应急周转金等资金保障措施，简化流程、快速反</w:t>
      </w:r>
      <w:r>
        <w:rPr>
          <w:rFonts w:hint="eastAsia" w:ascii="Times New Roman" w:hAnsi="Times New Roman" w:eastAsia="仿宋_GB2312" w:cs="Times New Roman"/>
          <w:spacing w:val="-6"/>
          <w:sz w:val="32"/>
          <w:szCs w:val="32"/>
          <w:lang w:val="en-US" w:eastAsia="zh-CN"/>
        </w:rPr>
        <w:t>应</w:t>
      </w:r>
      <w:r>
        <w:rPr>
          <w:rFonts w:hint="eastAsia" w:ascii="Times New Roman" w:hAnsi="Times New Roman" w:eastAsia="仿宋_GB2312" w:cs="Times New Roman"/>
          <w:spacing w:val="-6"/>
          <w:sz w:val="32"/>
          <w:szCs w:val="32"/>
        </w:rPr>
        <w:t>、综合施策，确保重大欠薪风险和特殊欠薪人员问题得到及时化解。</w:t>
      </w:r>
    </w:p>
    <w:p w14:paraId="6DA6EA71">
      <w:pPr>
        <w:pStyle w:val="11"/>
        <w:keepNext w:val="0"/>
        <w:keepLines w:val="0"/>
        <w:pageBreakBefore w:val="0"/>
        <w:kinsoku/>
        <w:wordWrap/>
        <w:overflowPunct/>
        <w:topLinePunct w:val="0"/>
        <w:autoSpaceDE/>
        <w:autoSpaceDN/>
        <w:bidi w:val="0"/>
        <w:adjustRightInd/>
        <w:snapToGrid/>
        <w:spacing w:line="540" w:lineRule="exact"/>
        <w:ind w:firstLine="616" w:firstLineChars="200"/>
        <w:jc w:val="both"/>
        <w:rPr>
          <w:rFonts w:hint="eastAsia" w:ascii="Times New Roman" w:hAnsi="Times New Roman" w:cs="Times New Roman"/>
          <w:color w:val="0000FF"/>
          <w:spacing w:val="-6"/>
          <w:sz w:val="32"/>
          <w:szCs w:val="32"/>
          <w:u w:val="single"/>
        </w:rPr>
      </w:pPr>
      <w:r>
        <w:rPr>
          <w:rFonts w:hint="eastAsia" w:ascii="Times New Roman" w:hAnsi="Times New Roman" w:eastAsia="楷体_GB2312" w:cs="Times New Roman"/>
          <w:spacing w:val="-6"/>
          <w:sz w:val="32"/>
          <w:szCs w:val="32"/>
        </w:rPr>
        <w:t>（</w:t>
      </w:r>
      <w:r>
        <w:rPr>
          <w:rFonts w:hint="eastAsia" w:eastAsia="楷体_GB2312" w:cs="Times New Roman"/>
          <w:spacing w:val="-6"/>
          <w:sz w:val="32"/>
          <w:szCs w:val="32"/>
          <w:lang w:val="en-US" w:eastAsia="zh-CN"/>
        </w:rPr>
        <w:t>四</w:t>
      </w:r>
      <w:r>
        <w:rPr>
          <w:rFonts w:hint="eastAsia" w:ascii="Times New Roman" w:hAnsi="Times New Roman" w:eastAsia="楷体_GB2312" w:cs="Times New Roman"/>
          <w:spacing w:val="-6"/>
          <w:sz w:val="32"/>
          <w:szCs w:val="32"/>
        </w:rPr>
        <w:t>）落实联合惩戒。</w:t>
      </w:r>
      <w:r>
        <w:rPr>
          <w:rFonts w:hint="eastAsia" w:cs="Times New Roman"/>
          <w:color w:val="auto"/>
          <w:spacing w:val="-6"/>
          <w:kern w:val="2"/>
          <w:sz w:val="32"/>
          <w:szCs w:val="32"/>
          <w:lang w:val="en-US" w:eastAsia="zh-CN" w:bidi="ar-SA"/>
        </w:rPr>
        <w:t>对因</w:t>
      </w:r>
      <w:r>
        <w:rPr>
          <w:rFonts w:hint="eastAsia" w:ascii="Times New Roman" w:hAnsi="Times New Roman" w:eastAsia="仿宋_GB2312" w:cs="Times New Roman"/>
          <w:color w:val="auto"/>
          <w:spacing w:val="-6"/>
          <w:kern w:val="2"/>
          <w:sz w:val="32"/>
          <w:szCs w:val="32"/>
          <w:lang w:val="en-US" w:eastAsia="zh-CN" w:bidi="ar-SA"/>
        </w:rPr>
        <w:t>拖</w:t>
      </w:r>
      <w:r>
        <w:rPr>
          <w:rFonts w:hint="eastAsia" w:ascii="Times New Roman" w:hAnsi="Times New Roman" w:cs="Times New Roman"/>
          <w:color w:val="auto"/>
          <w:spacing w:val="-6"/>
          <w:sz w:val="32"/>
          <w:szCs w:val="32"/>
        </w:rPr>
        <w:t>欠农民工工资</w:t>
      </w:r>
      <w:r>
        <w:rPr>
          <w:rFonts w:hint="eastAsia" w:cs="Times New Roman"/>
          <w:color w:val="auto"/>
          <w:spacing w:val="-6"/>
          <w:sz w:val="32"/>
          <w:szCs w:val="32"/>
          <w:lang w:val="en-US" w:eastAsia="zh-CN"/>
        </w:rPr>
        <w:t>违法行为发生赴京、赴省信访或引发群体性极端事件、重大舆情，</w:t>
      </w:r>
      <w:r>
        <w:rPr>
          <w:rFonts w:hint="eastAsia" w:ascii="Times New Roman" w:hAnsi="Times New Roman" w:cs="Times New Roman"/>
          <w:color w:val="auto"/>
          <w:spacing w:val="-6"/>
          <w:sz w:val="32"/>
          <w:szCs w:val="32"/>
        </w:rPr>
        <w:t>造成不良社会影响的用人单位及相关责任人，</w:t>
      </w:r>
      <w:r>
        <w:rPr>
          <w:rFonts w:hint="eastAsia" w:cs="Times New Roman"/>
          <w:color w:val="auto"/>
          <w:spacing w:val="-6"/>
          <w:sz w:val="32"/>
          <w:szCs w:val="32"/>
          <w:lang w:val="en-US" w:eastAsia="zh-CN"/>
        </w:rPr>
        <w:t>由</w:t>
      </w:r>
      <w:r>
        <w:rPr>
          <w:rFonts w:hint="eastAsia" w:ascii="Times New Roman" w:hAnsi="Times New Roman" w:eastAsia="仿宋_GB2312" w:cs="Times New Roman"/>
          <w:color w:val="auto"/>
          <w:spacing w:val="-6"/>
          <w:kern w:val="2"/>
          <w:sz w:val="32"/>
          <w:szCs w:val="32"/>
          <w:lang w:val="en-US" w:eastAsia="zh-CN" w:bidi="ar-SA"/>
        </w:rPr>
        <w:t>区人力资源社会保障局负责</w:t>
      </w:r>
      <w:r>
        <w:rPr>
          <w:rFonts w:hint="eastAsia" w:ascii="Times New Roman" w:hAnsi="Times New Roman" w:cs="Times New Roman"/>
          <w:color w:val="auto"/>
          <w:spacing w:val="-6"/>
          <w:sz w:val="32"/>
          <w:szCs w:val="32"/>
        </w:rPr>
        <w:t>列入失信联合惩戒对象名单，</w:t>
      </w:r>
      <w:r>
        <w:rPr>
          <w:rFonts w:hint="eastAsia" w:cs="Times New Roman"/>
          <w:color w:val="auto"/>
          <w:spacing w:val="-6"/>
          <w:sz w:val="32"/>
          <w:szCs w:val="32"/>
          <w:lang w:val="en-US" w:eastAsia="zh-CN"/>
        </w:rPr>
        <w:t>相关部门</w:t>
      </w:r>
      <w:r>
        <w:rPr>
          <w:rFonts w:hint="eastAsia" w:ascii="Times New Roman" w:hAnsi="Times New Roman" w:cs="Times New Roman"/>
          <w:color w:val="auto"/>
          <w:spacing w:val="-6"/>
          <w:sz w:val="32"/>
          <w:szCs w:val="32"/>
        </w:rPr>
        <w:t>在政府资金支持、政府采购、招投标、融资贷款、市场准入、税收优惠、评优评先、交通出行等方面依法依规予以限制，使失信</w:t>
      </w:r>
      <w:r>
        <w:rPr>
          <w:rFonts w:hint="eastAsia" w:cs="Times New Roman"/>
          <w:color w:val="auto"/>
          <w:spacing w:val="-6"/>
          <w:sz w:val="32"/>
          <w:szCs w:val="32"/>
          <w:lang w:val="en-US" w:eastAsia="zh-CN"/>
        </w:rPr>
        <w:t>用人单位及相关责任人</w:t>
      </w:r>
      <w:r>
        <w:rPr>
          <w:rFonts w:hint="eastAsia" w:ascii="Times New Roman" w:hAnsi="Times New Roman" w:cs="Times New Roman"/>
          <w:color w:val="auto"/>
          <w:spacing w:val="-6"/>
          <w:sz w:val="32"/>
          <w:szCs w:val="32"/>
        </w:rPr>
        <w:t>在全区范围内“一处违法、处处受限”。</w:t>
      </w:r>
    </w:p>
    <w:p w14:paraId="0A080815">
      <w:pPr>
        <w:pStyle w:val="2"/>
        <w:keepNext w:val="0"/>
        <w:keepLines w:val="0"/>
        <w:pageBreakBefore w:val="0"/>
        <w:kinsoku/>
        <w:wordWrap/>
        <w:overflowPunct/>
        <w:topLinePunct w:val="0"/>
        <w:autoSpaceDE/>
        <w:autoSpaceDN/>
        <w:bidi w:val="0"/>
        <w:adjustRightInd/>
        <w:snapToGrid/>
        <w:spacing w:after="0" w:line="540" w:lineRule="exact"/>
        <w:ind w:firstLine="616" w:firstLineChars="200"/>
        <w:jc w:val="both"/>
        <w:rPr>
          <w:rFonts w:hint="eastAsia" w:ascii="仿宋_GB2312" w:hAnsi="仿宋_GB2312" w:eastAsia="仿宋_GB2312" w:cs="仿宋_GB2312"/>
          <w:color w:val="000000"/>
          <w:spacing w:val="-6"/>
          <w:kern w:val="2"/>
          <w:sz w:val="32"/>
          <w:szCs w:val="32"/>
          <w:lang w:val="en-US" w:eastAsia="zh-CN" w:bidi="ar-SA"/>
        </w:rPr>
      </w:pPr>
      <w:r>
        <w:rPr>
          <w:rFonts w:hint="eastAsia" w:ascii="仿宋_GB2312" w:hAnsi="仿宋_GB2312" w:eastAsia="仿宋_GB2312" w:cs="仿宋_GB2312"/>
          <w:color w:val="000000"/>
          <w:spacing w:val="-6"/>
          <w:kern w:val="2"/>
          <w:sz w:val="32"/>
          <w:szCs w:val="32"/>
          <w:lang w:val="en-US" w:eastAsia="zh-CN" w:bidi="ar-SA"/>
        </w:rPr>
        <w:t>本意见所称相关行业工程建设主管部门是指区住房城乡建设局、区交通运输局、区农业农村局、焦作市自然资源和规划局中站分局、区城市管理局、区教育局、区卫生健康委、区文化广电和旅游局、区发展改革委等工程建设项目的行政主管部门。</w:t>
      </w:r>
    </w:p>
    <w:p w14:paraId="64EB10FA">
      <w:pPr>
        <w:pStyle w:val="2"/>
        <w:keepNext w:val="0"/>
        <w:keepLines w:val="0"/>
        <w:pageBreakBefore w:val="0"/>
        <w:kinsoku/>
        <w:wordWrap/>
        <w:overflowPunct/>
        <w:topLinePunct w:val="0"/>
        <w:autoSpaceDE/>
        <w:autoSpaceDN/>
        <w:bidi w:val="0"/>
        <w:adjustRightInd/>
        <w:snapToGrid/>
        <w:spacing w:after="0" w:line="540" w:lineRule="exact"/>
        <w:ind w:firstLine="616" w:firstLineChars="200"/>
        <w:jc w:val="both"/>
        <w:rPr>
          <w:rFonts w:hint="eastAsia" w:ascii="仿宋_GB2312" w:hAnsi="仿宋_GB2312" w:eastAsia="仿宋_GB2312" w:cs="仿宋_GB2312"/>
          <w:color w:val="000000"/>
          <w:spacing w:val="-6"/>
          <w:kern w:val="2"/>
          <w:sz w:val="32"/>
          <w:szCs w:val="32"/>
          <w:lang w:val="en-US" w:eastAsia="zh-CN" w:bidi="ar-SA"/>
        </w:rPr>
      </w:pPr>
      <w:r>
        <w:rPr>
          <w:rFonts w:hint="eastAsia" w:ascii="仿宋_GB2312" w:hAnsi="仿宋_GB2312" w:eastAsia="仿宋_GB2312" w:cs="仿宋_GB2312"/>
          <w:color w:val="000000"/>
          <w:spacing w:val="-6"/>
          <w:kern w:val="2"/>
          <w:sz w:val="32"/>
          <w:szCs w:val="32"/>
          <w:lang w:val="en-US" w:eastAsia="zh-CN" w:bidi="ar-SA"/>
        </w:rPr>
        <w:t>本意见适用于房屋建筑、市政、交通运输、水利及基础设施建设的建筑工程、线路管道、设备安装、工程装饰装修、城市园林绿化等各种新建、扩建、改建工程包括政府投资项目和企业自建项目招收使用的农民工。</w:t>
      </w:r>
    </w:p>
    <w:p w14:paraId="13AEE174">
      <w:pPr>
        <w:pStyle w:val="2"/>
        <w:keepNext w:val="0"/>
        <w:keepLines w:val="0"/>
        <w:pageBreakBefore w:val="0"/>
        <w:kinsoku/>
        <w:wordWrap/>
        <w:overflowPunct/>
        <w:topLinePunct w:val="0"/>
        <w:autoSpaceDE/>
        <w:autoSpaceDN/>
        <w:bidi w:val="0"/>
        <w:adjustRightInd/>
        <w:snapToGrid/>
        <w:spacing w:after="0" w:line="540" w:lineRule="exact"/>
        <w:ind w:firstLine="616" w:firstLineChars="200"/>
        <w:jc w:val="both"/>
        <w:rPr>
          <w:rFonts w:hint="eastAsia" w:ascii="Times New Roman" w:hAnsi="Times New Roman" w:eastAsia="仿宋_GB2312" w:cs="Times New Roman"/>
          <w:spacing w:val="-6"/>
          <w:sz w:val="32"/>
          <w:szCs w:val="32"/>
        </w:rPr>
      </w:pPr>
      <w:r>
        <w:rPr>
          <w:rFonts w:hint="eastAsia" w:ascii="仿宋_GB2312" w:hAnsi="仿宋_GB2312" w:eastAsia="仿宋_GB2312" w:cs="仿宋_GB2312"/>
          <w:color w:val="000000"/>
          <w:spacing w:val="-6"/>
          <w:kern w:val="2"/>
          <w:sz w:val="32"/>
          <w:szCs w:val="32"/>
          <w:lang w:val="en-US" w:eastAsia="zh-CN" w:bidi="ar-SA"/>
        </w:rPr>
        <w:t>本</w:t>
      </w:r>
      <w:r>
        <w:rPr>
          <w:rFonts w:hint="eastAsia" w:ascii="仿宋_GB2312" w:hAnsi="仿宋_GB2312" w:eastAsia="仿宋_GB2312" w:cs="仿宋_GB2312"/>
          <w:spacing w:val="-6"/>
          <w:sz w:val="32"/>
          <w:szCs w:val="32"/>
        </w:rPr>
        <w:t>意</w:t>
      </w:r>
      <w:r>
        <w:rPr>
          <w:rFonts w:hint="eastAsia" w:ascii="Times New Roman" w:hAnsi="Times New Roman" w:eastAsia="仿宋_GB2312" w:cs="Times New Roman"/>
          <w:spacing w:val="-6"/>
          <w:sz w:val="32"/>
          <w:szCs w:val="32"/>
        </w:rPr>
        <w:t>见和区级其他意见不一致</w:t>
      </w:r>
      <w:r>
        <w:rPr>
          <w:rFonts w:hint="eastAsia" w:eastAsia="仿宋_GB2312" w:cs="Times New Roman"/>
          <w:spacing w:val="-6"/>
          <w:sz w:val="32"/>
          <w:szCs w:val="32"/>
          <w:lang w:eastAsia="zh-CN"/>
        </w:rPr>
        <w:t>的，</w:t>
      </w:r>
      <w:r>
        <w:rPr>
          <w:rFonts w:hint="eastAsia" w:ascii="Times New Roman" w:hAnsi="Times New Roman" w:eastAsia="仿宋_GB2312" w:cs="Times New Roman"/>
          <w:spacing w:val="-6"/>
          <w:sz w:val="32"/>
          <w:szCs w:val="32"/>
        </w:rPr>
        <w:t>以本意见为主。</w:t>
      </w:r>
    </w:p>
    <w:p w14:paraId="73F3EF51">
      <w:pPr>
        <w:pStyle w:val="2"/>
        <w:keepNext w:val="0"/>
        <w:keepLines w:val="0"/>
        <w:pageBreakBefore w:val="0"/>
        <w:kinsoku/>
        <w:wordWrap/>
        <w:overflowPunct/>
        <w:topLinePunct w:val="0"/>
        <w:autoSpaceDE/>
        <w:autoSpaceDN/>
        <w:bidi w:val="0"/>
        <w:adjustRightInd/>
        <w:snapToGrid/>
        <w:spacing w:after="0" w:line="540" w:lineRule="exact"/>
        <w:ind w:left="0" w:leftChars="0" w:firstLine="616"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本意见自印发之日起施行</w:t>
      </w:r>
      <w:r>
        <w:rPr>
          <w:rFonts w:hint="eastAsia" w:eastAsia="仿宋_GB2312" w:cs="Times New Roman"/>
          <w:spacing w:val="-6"/>
          <w:sz w:val="32"/>
          <w:szCs w:val="32"/>
          <w:lang w:val="en-US" w:eastAsia="zh-CN"/>
        </w:rPr>
        <w:t>，有效期5年</w:t>
      </w:r>
      <w:r>
        <w:rPr>
          <w:rFonts w:hint="eastAsia" w:ascii="Times New Roman" w:hAnsi="Times New Roman" w:eastAsia="仿宋_GB2312" w:cs="Times New Roman"/>
          <w:spacing w:val="-6"/>
          <w:sz w:val="32"/>
          <w:szCs w:val="32"/>
          <w:lang w:val="en-US" w:eastAsia="zh-CN"/>
        </w:rPr>
        <w:t>。</w:t>
      </w:r>
    </w:p>
    <w:p w14:paraId="2F386C76">
      <w:pPr>
        <w:pStyle w:val="2"/>
        <w:keepNext w:val="0"/>
        <w:keepLines w:val="0"/>
        <w:pageBreakBefore w:val="0"/>
        <w:kinsoku/>
        <w:wordWrap/>
        <w:overflowPunct/>
        <w:topLinePunct w:val="0"/>
        <w:autoSpaceDE/>
        <w:autoSpaceDN/>
        <w:bidi w:val="0"/>
        <w:adjustRightInd/>
        <w:snapToGrid/>
        <w:spacing w:after="0" w:line="540" w:lineRule="exact"/>
        <w:ind w:firstLine="616" w:firstLineChars="200"/>
        <w:jc w:val="both"/>
        <w:rPr>
          <w:rFonts w:hint="eastAsia" w:ascii="Times New Roman" w:hAnsi="Times New Roman" w:eastAsia="仿宋_GB2312" w:cs="Times New Roman"/>
          <w:spacing w:val="-6"/>
          <w:sz w:val="32"/>
          <w:szCs w:val="32"/>
          <w:lang w:eastAsia="zh-CN"/>
        </w:rPr>
      </w:pPr>
    </w:p>
    <w:p w14:paraId="6C2AD705">
      <w:pPr>
        <w:pStyle w:val="2"/>
        <w:keepNext w:val="0"/>
        <w:keepLines w:val="0"/>
        <w:pageBreakBefore w:val="0"/>
        <w:kinsoku/>
        <w:wordWrap/>
        <w:overflowPunct/>
        <w:topLinePunct w:val="0"/>
        <w:autoSpaceDE/>
        <w:autoSpaceDN/>
        <w:bidi w:val="0"/>
        <w:adjustRightInd/>
        <w:snapToGrid/>
        <w:spacing w:after="0" w:line="540" w:lineRule="exact"/>
        <w:ind w:firstLine="616" w:firstLineChars="200"/>
        <w:jc w:val="both"/>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eastAsia="zh-CN"/>
        </w:rPr>
        <w:t>附件：</w:t>
      </w:r>
      <w:r>
        <w:rPr>
          <w:rFonts w:hint="eastAsia" w:ascii="Times New Roman" w:hAnsi="Times New Roman" w:eastAsia="仿宋_GB2312" w:cs="Times New Roman"/>
          <w:spacing w:val="-6"/>
          <w:sz w:val="32"/>
          <w:szCs w:val="32"/>
          <w:lang w:val="en-US" w:eastAsia="zh-CN"/>
        </w:rPr>
        <w:t>1.中站区在建工程项目信息推送台账</w:t>
      </w:r>
    </w:p>
    <w:p w14:paraId="01F4CFEE">
      <w:pPr>
        <w:pStyle w:val="2"/>
        <w:keepNext w:val="0"/>
        <w:keepLines w:val="0"/>
        <w:pageBreakBefore w:val="0"/>
        <w:numPr>
          <w:ilvl w:val="0"/>
          <w:numId w:val="0"/>
        </w:numPr>
        <w:kinsoku/>
        <w:wordWrap/>
        <w:overflowPunct/>
        <w:topLinePunct w:val="0"/>
        <w:autoSpaceDE/>
        <w:autoSpaceDN/>
        <w:bidi w:val="0"/>
        <w:adjustRightInd/>
        <w:snapToGrid/>
        <w:spacing w:after="0" w:line="540" w:lineRule="exact"/>
        <w:ind w:firstLine="1540" w:firstLineChars="500"/>
        <w:jc w:val="both"/>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2.焦作市中站区xx局农民工工资保证金缴纳通知书</w:t>
      </w:r>
    </w:p>
    <w:p w14:paraId="79EECD3A">
      <w:pPr>
        <w:pStyle w:val="2"/>
        <w:keepNext w:val="0"/>
        <w:keepLines w:val="0"/>
        <w:pageBreakBefore w:val="0"/>
        <w:kinsoku/>
        <w:wordWrap/>
        <w:overflowPunct/>
        <w:topLinePunct w:val="0"/>
        <w:autoSpaceDE/>
        <w:autoSpaceDN/>
        <w:bidi w:val="0"/>
        <w:adjustRightInd/>
        <w:snapToGrid/>
        <w:spacing w:after="0" w:line="540" w:lineRule="exact"/>
        <w:ind w:firstLine="1540" w:firstLineChars="500"/>
        <w:jc w:val="both"/>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3.焦作市农民工工资保证金业务经办机构名录</w:t>
      </w:r>
    </w:p>
    <w:p w14:paraId="0FAEF9C5">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b w:val="0"/>
          <w:bCs/>
          <w:snapToGrid/>
          <w:color w:val="000000"/>
          <w:kern w:val="2"/>
          <w:sz w:val="32"/>
          <w:szCs w:val="32"/>
          <w:lang w:val="en-US" w:eastAsia="zh-CN"/>
        </w:rPr>
      </w:pPr>
    </w:p>
    <w:p w14:paraId="2175C71D">
      <w:pPr>
        <w:keepNext w:val="0"/>
        <w:keepLines w:val="0"/>
        <w:pageBreakBefore w:val="0"/>
        <w:widowControl w:val="0"/>
        <w:kinsoku/>
        <w:wordWrap/>
        <w:overflowPunct/>
        <w:topLinePunct w:val="0"/>
        <w:autoSpaceDE/>
        <w:autoSpaceDN/>
        <w:bidi w:val="0"/>
        <w:adjustRightInd/>
        <w:snapToGrid/>
        <w:spacing w:line="560" w:lineRule="exact"/>
        <w:ind w:firstLine="1292" w:firstLineChars="404"/>
        <w:jc w:val="left"/>
        <w:textAlignment w:val="auto"/>
        <w:rPr>
          <w:rFonts w:hint="default" w:ascii="Times New Roman" w:hAnsi="Times New Roman" w:eastAsia="仿宋_GB2312" w:cs="Times New Roman"/>
          <w:b w:val="0"/>
          <w:bCs/>
          <w:snapToGrid/>
          <w:color w:val="000000"/>
          <w:kern w:val="2"/>
          <w:sz w:val="32"/>
          <w:szCs w:val="32"/>
          <w:lang w:val="en-US" w:eastAsia="zh-CN"/>
        </w:rPr>
      </w:pPr>
    </w:p>
    <w:p w14:paraId="4349B918">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default" w:ascii="Times New Roman" w:hAnsi="Times New Roman" w:eastAsia="仿宋_GB2312" w:cs="Times New Roman"/>
          <w:b w:val="0"/>
          <w:bCs/>
          <w:snapToGrid/>
          <w:color w:val="000000"/>
          <w:kern w:val="2"/>
          <w:sz w:val="32"/>
          <w:szCs w:val="32"/>
          <w:lang w:val="en-US" w:eastAsia="zh-CN"/>
        </w:rPr>
      </w:pPr>
      <w:r>
        <w:rPr>
          <w:rFonts w:hint="default" w:ascii="Times New Roman" w:hAnsi="Times New Roman" w:eastAsia="仿宋_GB2312" w:cs="Times New Roman"/>
          <w:b w:val="0"/>
          <w:bCs/>
          <w:snapToGrid/>
          <w:color w:val="000000"/>
          <w:kern w:val="2"/>
          <w:sz w:val="32"/>
          <w:szCs w:val="32"/>
          <w:lang w:val="en-US" w:eastAsia="zh-CN"/>
        </w:rPr>
        <w:t>中站区人民政府办公室</w:t>
      </w:r>
    </w:p>
    <w:p w14:paraId="17115411">
      <w:pPr>
        <w:pStyle w:val="2"/>
        <w:keepNext w:val="0"/>
        <w:keepLines w:val="0"/>
        <w:pageBreakBefore w:val="0"/>
        <w:kinsoku/>
        <w:wordWrap/>
        <w:overflowPunct/>
        <w:topLinePunct w:val="0"/>
        <w:autoSpaceDE/>
        <w:autoSpaceDN/>
        <w:bidi w:val="0"/>
        <w:adjustRightInd/>
        <w:snapToGrid/>
        <w:spacing w:after="0" w:line="579" w:lineRule="exact"/>
        <w:ind w:left="0" w:leftChars="0" w:firstLine="0" w:firstLineChars="0"/>
        <w:rPr>
          <w:rFonts w:ascii="Times New Roman" w:hAnsi="Times New Roman" w:eastAsia="仿宋_GB2312"/>
          <w:sz w:val="32"/>
          <w:szCs w:val="32"/>
        </w:rPr>
        <w:sectPr>
          <w:footerReference r:id="rId3" w:type="default"/>
          <w:footerReference r:id="rId4" w:type="even"/>
          <w:pgSz w:w="11906" w:h="16838"/>
          <w:pgMar w:top="2098" w:right="1474" w:bottom="1984" w:left="1587" w:header="964" w:footer="1417" w:gutter="0"/>
          <w:pgNumType w:fmt="numberInDash"/>
          <w:cols w:space="720" w:num="1"/>
          <w:docGrid w:type="lines" w:linePitch="312" w:charSpace="0"/>
        </w:sectPr>
      </w:pPr>
      <w:r>
        <w:rPr>
          <w:rFonts w:hint="default" w:ascii="Times New Roman" w:hAnsi="Times New Roman" w:eastAsia="仿宋_GB2312" w:cs="Times New Roman"/>
          <w:b w:val="0"/>
          <w:bCs/>
          <w:snapToGrid/>
          <w:color w:val="000000"/>
          <w:kern w:val="2"/>
          <w:sz w:val="32"/>
          <w:szCs w:val="32"/>
          <w:lang w:val="en-US" w:eastAsia="zh-CN" w:bidi="ar"/>
        </w:rPr>
        <w:t xml:space="preserve">       </w:t>
      </w:r>
      <w:r>
        <w:rPr>
          <w:rFonts w:hint="eastAsia" w:ascii="Times New Roman" w:hAnsi="Times New Roman" w:eastAsia="仿宋_GB2312" w:cs="Times New Roman"/>
          <w:b w:val="0"/>
          <w:bCs/>
          <w:snapToGrid/>
          <w:color w:val="000000"/>
          <w:kern w:val="2"/>
          <w:sz w:val="32"/>
          <w:szCs w:val="32"/>
          <w:lang w:val="en-US" w:eastAsia="zh-CN" w:bidi="ar"/>
        </w:rPr>
        <w:t xml:space="preserve">                 </w:t>
      </w:r>
      <w:r>
        <w:rPr>
          <w:rFonts w:hint="eastAsia" w:eastAsia="仿宋_GB2312" w:cs="Times New Roman"/>
          <w:b w:val="0"/>
          <w:bCs/>
          <w:snapToGrid/>
          <w:color w:val="000000"/>
          <w:kern w:val="2"/>
          <w:sz w:val="32"/>
          <w:szCs w:val="32"/>
          <w:lang w:val="en-US" w:eastAsia="zh-CN" w:bidi="ar"/>
        </w:rPr>
        <w:t xml:space="preserve">      </w:t>
      </w:r>
      <w:r>
        <w:rPr>
          <w:rFonts w:hint="default" w:ascii="Times New Roman" w:hAnsi="Times New Roman" w:eastAsia="仿宋_GB2312" w:cs="Times New Roman"/>
          <w:b w:val="0"/>
          <w:bCs/>
          <w:snapToGrid/>
          <w:color w:val="000000"/>
          <w:kern w:val="2"/>
          <w:sz w:val="32"/>
          <w:szCs w:val="32"/>
          <w:lang w:val="en-US" w:eastAsia="zh-CN" w:bidi="ar"/>
        </w:rPr>
        <w:t>202</w:t>
      </w:r>
      <w:r>
        <w:rPr>
          <w:rFonts w:hint="eastAsia" w:eastAsia="仿宋_GB2312" w:cs="Times New Roman"/>
          <w:b w:val="0"/>
          <w:bCs/>
          <w:snapToGrid/>
          <w:color w:val="000000"/>
          <w:kern w:val="2"/>
          <w:sz w:val="32"/>
          <w:szCs w:val="32"/>
          <w:lang w:val="en-US" w:eastAsia="zh-CN" w:bidi="ar"/>
        </w:rPr>
        <w:t>5</w:t>
      </w:r>
      <w:r>
        <w:rPr>
          <w:rFonts w:hint="default" w:ascii="Times New Roman" w:hAnsi="Times New Roman" w:eastAsia="仿宋_GB2312" w:cs="Times New Roman"/>
          <w:b w:val="0"/>
          <w:bCs/>
          <w:snapToGrid/>
          <w:color w:val="000000"/>
          <w:kern w:val="2"/>
          <w:sz w:val="32"/>
          <w:szCs w:val="32"/>
          <w:lang w:val="en-US" w:eastAsia="zh-CN" w:bidi="ar"/>
        </w:rPr>
        <w:t>年</w:t>
      </w:r>
      <w:r>
        <w:rPr>
          <w:rFonts w:hint="eastAsia" w:eastAsia="仿宋_GB2312" w:cs="Times New Roman"/>
          <w:b w:val="0"/>
          <w:bCs/>
          <w:snapToGrid/>
          <w:color w:val="000000"/>
          <w:kern w:val="2"/>
          <w:sz w:val="32"/>
          <w:szCs w:val="32"/>
          <w:lang w:val="en-US" w:eastAsia="zh-CN" w:bidi="ar"/>
        </w:rPr>
        <w:t xml:space="preserve">   </w:t>
      </w:r>
      <w:r>
        <w:rPr>
          <w:rFonts w:hint="default" w:ascii="Times New Roman" w:hAnsi="Times New Roman" w:eastAsia="仿宋_GB2312" w:cs="Times New Roman"/>
          <w:b w:val="0"/>
          <w:bCs/>
          <w:snapToGrid/>
          <w:color w:val="000000"/>
          <w:kern w:val="2"/>
          <w:sz w:val="32"/>
          <w:szCs w:val="32"/>
          <w:lang w:val="en-US" w:eastAsia="zh-CN" w:bidi="ar"/>
        </w:rPr>
        <w:t>月</w:t>
      </w:r>
      <w:r>
        <w:rPr>
          <w:rFonts w:hint="eastAsia" w:eastAsia="仿宋_GB2312" w:cs="Times New Roman"/>
          <w:b w:val="0"/>
          <w:bCs/>
          <w:snapToGrid/>
          <w:color w:val="000000"/>
          <w:kern w:val="2"/>
          <w:sz w:val="32"/>
          <w:szCs w:val="32"/>
          <w:lang w:val="en-US" w:eastAsia="zh-CN" w:bidi="ar"/>
        </w:rPr>
        <w:t xml:space="preserve">   </w:t>
      </w:r>
      <w:r>
        <w:rPr>
          <w:rFonts w:hint="default" w:ascii="Times New Roman" w:hAnsi="Times New Roman" w:eastAsia="仿宋_GB2312" w:cs="Times New Roman"/>
          <w:b w:val="0"/>
          <w:bCs/>
          <w:snapToGrid/>
          <w:color w:val="000000"/>
          <w:kern w:val="2"/>
          <w:sz w:val="32"/>
          <w:szCs w:val="32"/>
          <w:lang w:val="en-US" w:eastAsia="zh-CN" w:bidi="ar"/>
        </w:rPr>
        <w:t>日</w:t>
      </w:r>
    </w:p>
    <w:tbl>
      <w:tblPr>
        <w:tblStyle w:val="9"/>
        <w:tblW w:w="307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1120"/>
        <w:gridCol w:w="1428"/>
        <w:gridCol w:w="900"/>
        <w:gridCol w:w="1464"/>
        <w:gridCol w:w="1124"/>
        <w:gridCol w:w="1177"/>
        <w:gridCol w:w="646"/>
        <w:gridCol w:w="1019"/>
        <w:gridCol w:w="1155"/>
        <w:gridCol w:w="690"/>
        <w:gridCol w:w="1152"/>
        <w:gridCol w:w="981"/>
        <w:gridCol w:w="1231"/>
        <w:gridCol w:w="1679"/>
        <w:gridCol w:w="1080"/>
        <w:gridCol w:w="1080"/>
        <w:gridCol w:w="1080"/>
        <w:gridCol w:w="1080"/>
        <w:gridCol w:w="1080"/>
        <w:gridCol w:w="1080"/>
        <w:gridCol w:w="1080"/>
        <w:gridCol w:w="1080"/>
        <w:gridCol w:w="1080"/>
        <w:gridCol w:w="1080"/>
        <w:gridCol w:w="1080"/>
        <w:gridCol w:w="1080"/>
        <w:gridCol w:w="1080"/>
      </w:tblGrid>
      <w:tr w14:paraId="50C6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13828" w:type="dxa"/>
            <w:gridSpan w:val="13"/>
            <w:tcBorders>
              <w:top w:val="nil"/>
              <w:left w:val="nil"/>
              <w:bottom w:val="nil"/>
              <w:right w:val="nil"/>
            </w:tcBorders>
            <w:noWrap/>
            <w:vAlign w:val="center"/>
          </w:tcPr>
          <w:p w14:paraId="17FB0D53">
            <w:pPr>
              <w:suppressAutoHyphens/>
              <w:spacing w:line="532" w:lineRule="exact"/>
              <w:rPr>
                <w:rFonts w:hint="eastAsia" w:ascii="仿宋" w:hAnsi="仿宋" w:eastAsia="黑体" w:cs="仿宋"/>
                <w:i w:val="0"/>
                <w:iCs w:val="0"/>
                <w:color w:val="000000"/>
                <w:sz w:val="20"/>
                <w:szCs w:val="20"/>
                <w:u w:val="none"/>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tc>
        <w:tc>
          <w:tcPr>
            <w:tcW w:w="1231" w:type="dxa"/>
            <w:tcBorders>
              <w:top w:val="nil"/>
              <w:left w:val="nil"/>
              <w:bottom w:val="nil"/>
              <w:right w:val="nil"/>
            </w:tcBorders>
            <w:noWrap/>
            <w:vAlign w:val="bottom"/>
          </w:tcPr>
          <w:p w14:paraId="4AEFE949">
            <w:pPr>
              <w:suppressAutoHyphens/>
              <w:rPr>
                <w:rFonts w:hint="eastAsia" w:ascii="仿宋" w:hAnsi="仿宋" w:eastAsia="仿宋" w:cs="仿宋"/>
                <w:i w:val="0"/>
                <w:iCs w:val="0"/>
                <w:color w:val="000000"/>
                <w:sz w:val="16"/>
                <w:szCs w:val="16"/>
                <w:u w:val="none"/>
              </w:rPr>
            </w:pPr>
          </w:p>
        </w:tc>
        <w:tc>
          <w:tcPr>
            <w:tcW w:w="1679" w:type="dxa"/>
            <w:tcBorders>
              <w:top w:val="nil"/>
              <w:left w:val="nil"/>
              <w:bottom w:val="nil"/>
              <w:right w:val="nil"/>
            </w:tcBorders>
            <w:noWrap/>
            <w:vAlign w:val="bottom"/>
          </w:tcPr>
          <w:p w14:paraId="5C2FEDC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586D944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2B4C4E0E">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628C6C09">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27EF79C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64326DE7">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203CE03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40022EC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605B184E">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1DD16089">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2430353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3ADD732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280A6E0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3081C7EF">
            <w:pPr>
              <w:suppressAutoHyphens/>
              <w:rPr>
                <w:rFonts w:hint="eastAsia" w:ascii="仿宋" w:hAnsi="仿宋" w:eastAsia="仿宋" w:cs="仿宋"/>
                <w:i w:val="0"/>
                <w:iCs w:val="0"/>
                <w:color w:val="000000"/>
                <w:sz w:val="16"/>
                <w:szCs w:val="16"/>
                <w:u w:val="none"/>
              </w:rPr>
            </w:pPr>
          </w:p>
        </w:tc>
      </w:tr>
      <w:tr w14:paraId="43A0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828" w:type="dxa"/>
            <w:gridSpan w:val="13"/>
            <w:tcBorders>
              <w:top w:val="nil"/>
              <w:left w:val="nil"/>
              <w:bottom w:val="nil"/>
              <w:right w:val="nil"/>
            </w:tcBorders>
            <w:noWrap/>
            <w:vAlign w:val="center"/>
          </w:tcPr>
          <w:p w14:paraId="64000CDB">
            <w:pPr>
              <w:keepNext w:val="0"/>
              <w:keepLines w:val="0"/>
              <w:widowControl/>
              <w:suppressLineNumbers w:val="0"/>
              <w:suppressAutoHyphens/>
              <w:jc w:val="center"/>
              <w:textAlignment w:val="center"/>
              <w:rPr>
                <w:rFonts w:hint="eastAsia" w:ascii="仿宋" w:hAnsi="仿宋" w:eastAsia="仿宋" w:cs="仿宋"/>
                <w:b/>
                <w:bCs/>
                <w:i w:val="0"/>
                <w:iCs w:val="0"/>
                <w:color w:val="000000"/>
                <w:sz w:val="56"/>
                <w:szCs w:val="56"/>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中站区在建工程项目信息推送台账</w:t>
            </w:r>
          </w:p>
        </w:tc>
        <w:tc>
          <w:tcPr>
            <w:tcW w:w="1231" w:type="dxa"/>
            <w:tcBorders>
              <w:top w:val="nil"/>
              <w:left w:val="nil"/>
              <w:bottom w:val="nil"/>
              <w:right w:val="nil"/>
            </w:tcBorders>
            <w:noWrap/>
            <w:vAlign w:val="bottom"/>
          </w:tcPr>
          <w:p w14:paraId="122937AA">
            <w:pPr>
              <w:suppressAutoHyphens/>
              <w:rPr>
                <w:rFonts w:hint="eastAsia" w:ascii="仿宋" w:hAnsi="仿宋" w:eastAsia="仿宋" w:cs="仿宋"/>
                <w:i w:val="0"/>
                <w:iCs w:val="0"/>
                <w:color w:val="000000"/>
                <w:sz w:val="16"/>
                <w:szCs w:val="16"/>
                <w:u w:val="none"/>
              </w:rPr>
            </w:pPr>
          </w:p>
        </w:tc>
        <w:tc>
          <w:tcPr>
            <w:tcW w:w="1679" w:type="dxa"/>
            <w:tcBorders>
              <w:top w:val="nil"/>
              <w:left w:val="nil"/>
              <w:bottom w:val="nil"/>
              <w:right w:val="nil"/>
            </w:tcBorders>
            <w:noWrap/>
            <w:vAlign w:val="bottom"/>
          </w:tcPr>
          <w:p w14:paraId="5532DC8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76EC5A4D">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4C2487E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38C8AB9D">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0E75DF9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607E2B7D">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121D0E8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5EE52698">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388E9A5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61D9022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6E73AB8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58202FA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2C841EA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11072F07">
            <w:pPr>
              <w:suppressAutoHyphens/>
              <w:rPr>
                <w:rFonts w:hint="eastAsia" w:ascii="仿宋" w:hAnsi="仿宋" w:eastAsia="仿宋" w:cs="仿宋"/>
                <w:i w:val="0"/>
                <w:iCs w:val="0"/>
                <w:color w:val="000000"/>
                <w:sz w:val="16"/>
                <w:szCs w:val="16"/>
                <w:u w:val="none"/>
              </w:rPr>
            </w:pPr>
          </w:p>
        </w:tc>
      </w:tr>
      <w:tr w14:paraId="343D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850" w:type="dxa"/>
            <w:gridSpan w:val="9"/>
            <w:tcBorders>
              <w:top w:val="nil"/>
              <w:left w:val="nil"/>
              <w:bottom w:val="nil"/>
              <w:right w:val="nil"/>
            </w:tcBorders>
            <w:noWrap w:val="0"/>
            <w:vAlign w:val="center"/>
          </w:tcPr>
          <w:p w14:paraId="08AB7DFC">
            <w:pPr>
              <w:keepNext w:val="0"/>
              <w:keepLines w:val="0"/>
              <w:widowControl/>
              <w:suppressLineNumbers w:val="0"/>
              <w:suppressAutoHyphens/>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填报单位：</w:t>
            </w:r>
          </w:p>
        </w:tc>
        <w:tc>
          <w:tcPr>
            <w:tcW w:w="1155" w:type="dxa"/>
            <w:tcBorders>
              <w:top w:val="nil"/>
              <w:left w:val="nil"/>
              <w:bottom w:val="nil"/>
              <w:right w:val="nil"/>
            </w:tcBorders>
            <w:noWrap w:val="0"/>
            <w:vAlign w:val="center"/>
          </w:tcPr>
          <w:p w14:paraId="7EB03685">
            <w:pPr>
              <w:suppressAutoHyphens/>
              <w:jc w:val="both"/>
              <w:rPr>
                <w:rFonts w:hint="eastAsia" w:ascii="仿宋" w:hAnsi="仿宋" w:eastAsia="仿宋" w:cs="仿宋"/>
                <w:b/>
                <w:bCs/>
                <w:i w:val="0"/>
                <w:iCs w:val="0"/>
                <w:color w:val="000000"/>
                <w:sz w:val="32"/>
                <w:szCs w:val="32"/>
                <w:u w:val="none"/>
                <w:lang w:val="en-US" w:eastAsia="zh-CN"/>
              </w:rPr>
            </w:pPr>
            <w:r>
              <w:rPr>
                <w:rFonts w:hint="eastAsia" w:ascii="仿宋" w:hAnsi="仿宋" w:eastAsia="仿宋" w:cs="仿宋"/>
                <w:b/>
                <w:bCs/>
                <w:i w:val="0"/>
                <w:iCs w:val="0"/>
                <w:color w:val="000000"/>
                <w:sz w:val="32"/>
                <w:szCs w:val="32"/>
                <w:u w:val="none"/>
                <w:lang w:val="en-US" w:eastAsia="zh-CN"/>
              </w:rPr>
              <w:t>日期：</w:t>
            </w:r>
          </w:p>
        </w:tc>
        <w:tc>
          <w:tcPr>
            <w:tcW w:w="690" w:type="dxa"/>
            <w:tcBorders>
              <w:top w:val="nil"/>
              <w:left w:val="nil"/>
              <w:bottom w:val="nil"/>
              <w:right w:val="nil"/>
            </w:tcBorders>
            <w:noWrap/>
            <w:vAlign w:val="center"/>
          </w:tcPr>
          <w:p w14:paraId="615B20C6">
            <w:pPr>
              <w:suppressAutoHyphens/>
              <w:jc w:val="center"/>
              <w:rPr>
                <w:rFonts w:hint="eastAsia" w:ascii="仿宋" w:hAnsi="仿宋" w:eastAsia="仿宋" w:cs="仿宋"/>
                <w:b/>
                <w:bCs/>
                <w:i w:val="0"/>
                <w:iCs w:val="0"/>
                <w:color w:val="000000"/>
                <w:sz w:val="32"/>
                <w:szCs w:val="32"/>
                <w:u w:val="none"/>
              </w:rPr>
            </w:pPr>
          </w:p>
        </w:tc>
        <w:tc>
          <w:tcPr>
            <w:tcW w:w="1152" w:type="dxa"/>
            <w:tcBorders>
              <w:top w:val="nil"/>
              <w:left w:val="nil"/>
              <w:bottom w:val="nil"/>
              <w:right w:val="nil"/>
            </w:tcBorders>
            <w:noWrap/>
            <w:vAlign w:val="center"/>
          </w:tcPr>
          <w:p w14:paraId="0FCEAC71">
            <w:pPr>
              <w:suppressAutoHyphens/>
              <w:jc w:val="center"/>
              <w:rPr>
                <w:rFonts w:hint="eastAsia" w:ascii="仿宋" w:hAnsi="仿宋" w:eastAsia="仿宋" w:cs="仿宋"/>
                <w:b/>
                <w:bCs/>
                <w:i w:val="0"/>
                <w:iCs w:val="0"/>
                <w:color w:val="000000"/>
                <w:sz w:val="36"/>
                <w:szCs w:val="36"/>
                <w:u w:val="none"/>
              </w:rPr>
            </w:pPr>
          </w:p>
        </w:tc>
        <w:tc>
          <w:tcPr>
            <w:tcW w:w="981" w:type="dxa"/>
            <w:tcBorders>
              <w:top w:val="nil"/>
              <w:left w:val="nil"/>
              <w:bottom w:val="nil"/>
              <w:right w:val="nil"/>
            </w:tcBorders>
            <w:noWrap/>
            <w:vAlign w:val="center"/>
          </w:tcPr>
          <w:p w14:paraId="5B7ABE8B">
            <w:pPr>
              <w:suppressAutoHyphens/>
              <w:jc w:val="center"/>
              <w:rPr>
                <w:rFonts w:hint="eastAsia" w:ascii="仿宋" w:hAnsi="仿宋" w:eastAsia="仿宋" w:cs="仿宋"/>
                <w:b/>
                <w:bCs/>
                <w:i w:val="0"/>
                <w:iCs w:val="0"/>
                <w:color w:val="000000"/>
                <w:sz w:val="36"/>
                <w:szCs w:val="36"/>
                <w:u w:val="none"/>
              </w:rPr>
            </w:pPr>
          </w:p>
        </w:tc>
        <w:tc>
          <w:tcPr>
            <w:tcW w:w="1231" w:type="dxa"/>
            <w:tcBorders>
              <w:top w:val="nil"/>
              <w:left w:val="nil"/>
              <w:bottom w:val="nil"/>
              <w:right w:val="nil"/>
            </w:tcBorders>
            <w:noWrap/>
            <w:vAlign w:val="center"/>
          </w:tcPr>
          <w:p w14:paraId="1D145AFF">
            <w:pPr>
              <w:suppressAutoHyphens/>
              <w:jc w:val="left"/>
              <w:rPr>
                <w:rFonts w:hint="eastAsia" w:ascii="仿宋" w:hAnsi="仿宋" w:eastAsia="仿宋" w:cs="仿宋"/>
                <w:b/>
                <w:bCs/>
                <w:i w:val="0"/>
                <w:iCs w:val="0"/>
                <w:color w:val="000000"/>
                <w:sz w:val="36"/>
                <w:szCs w:val="36"/>
                <w:u w:val="none"/>
              </w:rPr>
            </w:pPr>
          </w:p>
        </w:tc>
        <w:tc>
          <w:tcPr>
            <w:tcW w:w="1679" w:type="dxa"/>
            <w:tcBorders>
              <w:top w:val="nil"/>
              <w:left w:val="nil"/>
              <w:bottom w:val="nil"/>
              <w:right w:val="nil"/>
            </w:tcBorders>
            <w:noWrap/>
            <w:vAlign w:val="bottom"/>
          </w:tcPr>
          <w:p w14:paraId="5F91807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02809B7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166075A1">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7D11C8B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42E292F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7336067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406C3366">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610817C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200B405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4221710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34707961">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3C876EF5">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343D715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bottom"/>
          </w:tcPr>
          <w:p w14:paraId="0809670B">
            <w:pPr>
              <w:suppressAutoHyphens/>
              <w:rPr>
                <w:rFonts w:hint="eastAsia" w:ascii="仿宋" w:hAnsi="仿宋" w:eastAsia="仿宋" w:cs="仿宋"/>
                <w:i w:val="0"/>
                <w:iCs w:val="0"/>
                <w:color w:val="000000"/>
                <w:sz w:val="16"/>
                <w:szCs w:val="16"/>
                <w:u w:val="none"/>
              </w:rPr>
            </w:pPr>
          </w:p>
        </w:tc>
      </w:tr>
      <w:tr w14:paraId="44C9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BA43F">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EFDF93">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99EFB9">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类型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（在建、停工）</w:t>
            </w:r>
          </w:p>
        </w:tc>
        <w:tc>
          <w:tcPr>
            <w:tcW w:w="900" w:type="dxa"/>
            <w:vMerge w:val="restart"/>
            <w:tcBorders>
              <w:top w:val="single" w:color="000000" w:sz="4" w:space="0"/>
              <w:left w:val="single" w:color="000000" w:sz="4" w:space="0"/>
              <w:bottom w:val="nil"/>
              <w:right w:val="single" w:color="000000" w:sz="4" w:space="0"/>
            </w:tcBorders>
            <w:noWrap w:val="0"/>
            <w:vAlign w:val="center"/>
          </w:tcPr>
          <w:p w14:paraId="2817D51C">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项目所在地址</w:t>
            </w:r>
          </w:p>
        </w:tc>
        <w:tc>
          <w:tcPr>
            <w:tcW w:w="1464" w:type="dxa"/>
            <w:vMerge w:val="restart"/>
            <w:tcBorders>
              <w:top w:val="single" w:color="000000" w:sz="4" w:space="0"/>
              <w:left w:val="single" w:color="000000" w:sz="4" w:space="0"/>
              <w:bottom w:val="nil"/>
              <w:right w:val="single" w:color="000000" w:sz="4" w:space="0"/>
            </w:tcBorders>
            <w:noWrap w:val="0"/>
            <w:vAlign w:val="center"/>
          </w:tcPr>
          <w:p w14:paraId="754B3080">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所属行业部门</w:t>
            </w:r>
          </w:p>
        </w:tc>
        <w:tc>
          <w:tcPr>
            <w:tcW w:w="1124" w:type="dxa"/>
            <w:vMerge w:val="restart"/>
            <w:tcBorders>
              <w:top w:val="single" w:color="000000" w:sz="4" w:space="0"/>
              <w:left w:val="single" w:color="000000" w:sz="4" w:space="0"/>
              <w:bottom w:val="nil"/>
              <w:right w:val="single" w:color="000000" w:sz="4" w:space="0"/>
            </w:tcBorders>
            <w:noWrap w:val="0"/>
            <w:vAlign w:val="center"/>
          </w:tcPr>
          <w:p w14:paraId="3380DDD3">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属地街道办事处</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负责人</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联系方式</w:t>
            </w:r>
          </w:p>
        </w:tc>
        <w:tc>
          <w:tcPr>
            <w:tcW w:w="2842" w:type="dxa"/>
            <w:gridSpan w:val="3"/>
            <w:tcBorders>
              <w:top w:val="single" w:color="000000" w:sz="4" w:space="0"/>
              <w:left w:val="single" w:color="000000" w:sz="4" w:space="0"/>
              <w:bottom w:val="single" w:color="000000" w:sz="4" w:space="0"/>
              <w:right w:val="single" w:color="000000" w:sz="4" w:space="0"/>
            </w:tcBorders>
            <w:noWrap w:val="0"/>
            <w:vAlign w:val="center"/>
          </w:tcPr>
          <w:p w14:paraId="1E838674">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建设单位</w:t>
            </w:r>
          </w:p>
        </w:tc>
        <w:tc>
          <w:tcPr>
            <w:tcW w:w="2997" w:type="dxa"/>
            <w:gridSpan w:val="3"/>
            <w:tcBorders>
              <w:top w:val="single" w:color="000000" w:sz="4" w:space="0"/>
              <w:left w:val="single" w:color="000000" w:sz="4" w:space="0"/>
              <w:bottom w:val="single" w:color="000000" w:sz="4" w:space="0"/>
              <w:right w:val="single" w:color="000000" w:sz="4" w:space="0"/>
            </w:tcBorders>
            <w:noWrap w:val="0"/>
            <w:vAlign w:val="center"/>
          </w:tcPr>
          <w:p w14:paraId="444E9A11">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施工总单位</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FC70D">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合同总额        （万元）</w:t>
            </w:r>
          </w:p>
        </w:tc>
        <w:tc>
          <w:tcPr>
            <w:tcW w:w="12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6A471">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679" w:type="dxa"/>
            <w:tcBorders>
              <w:top w:val="nil"/>
              <w:left w:val="nil"/>
              <w:bottom w:val="nil"/>
              <w:right w:val="nil"/>
            </w:tcBorders>
            <w:noWrap/>
            <w:vAlign w:val="center"/>
          </w:tcPr>
          <w:p w14:paraId="145B5F0B">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980CB6A">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8AE9A7F">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5377949">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368C3AA">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02CE681">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D7B7656">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A3713EF">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FD0EE85">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11F342E">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20041661">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02025E5">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BE2CD93">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BBDC11B">
            <w:pPr>
              <w:suppressAutoHyphens/>
              <w:jc w:val="center"/>
              <w:rPr>
                <w:rFonts w:hint="eastAsia" w:ascii="仿宋" w:hAnsi="仿宋" w:eastAsia="仿宋" w:cs="仿宋"/>
                <w:i w:val="0"/>
                <w:iCs w:val="0"/>
                <w:color w:val="000000"/>
                <w:sz w:val="16"/>
                <w:szCs w:val="16"/>
                <w:u w:val="none"/>
              </w:rPr>
            </w:pPr>
          </w:p>
        </w:tc>
      </w:tr>
      <w:tr w14:paraId="5A31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72" w:type="dxa"/>
            <w:vMerge w:val="continue"/>
            <w:tcBorders>
              <w:top w:val="single" w:color="000000" w:sz="4" w:space="0"/>
              <w:left w:val="single" w:color="000000" w:sz="4" w:space="0"/>
              <w:bottom w:val="single" w:color="auto" w:sz="4" w:space="0"/>
              <w:right w:val="single" w:color="000000" w:sz="4" w:space="0"/>
            </w:tcBorders>
            <w:noWrap w:val="0"/>
            <w:vAlign w:val="center"/>
          </w:tcPr>
          <w:p w14:paraId="0E06EF3F">
            <w:pPr>
              <w:suppressAutoHyphens/>
              <w:jc w:val="center"/>
              <w:rPr>
                <w:rFonts w:hint="eastAsia" w:ascii="宋体" w:hAnsi="宋体" w:eastAsia="宋体" w:cs="宋体"/>
                <w:b/>
                <w:bCs/>
                <w:i w:val="0"/>
                <w:iCs w:val="0"/>
                <w:color w:val="000000"/>
                <w:sz w:val="21"/>
                <w:szCs w:val="21"/>
                <w:u w:val="none"/>
              </w:rPr>
            </w:pPr>
          </w:p>
        </w:tc>
        <w:tc>
          <w:tcPr>
            <w:tcW w:w="1120" w:type="dxa"/>
            <w:vMerge w:val="continue"/>
            <w:tcBorders>
              <w:top w:val="single" w:color="000000" w:sz="4" w:space="0"/>
              <w:left w:val="single" w:color="000000" w:sz="4" w:space="0"/>
              <w:bottom w:val="single" w:color="auto" w:sz="4" w:space="0"/>
              <w:right w:val="single" w:color="000000" w:sz="4" w:space="0"/>
            </w:tcBorders>
            <w:noWrap w:val="0"/>
            <w:vAlign w:val="center"/>
          </w:tcPr>
          <w:p w14:paraId="3DA3692B">
            <w:pPr>
              <w:suppressAutoHyphens/>
              <w:jc w:val="center"/>
              <w:rPr>
                <w:rFonts w:hint="eastAsia" w:ascii="宋体" w:hAnsi="宋体" w:eastAsia="宋体" w:cs="宋体"/>
                <w:b/>
                <w:bCs/>
                <w:i w:val="0"/>
                <w:iCs w:val="0"/>
                <w:color w:val="000000"/>
                <w:sz w:val="21"/>
                <w:szCs w:val="21"/>
                <w:u w:val="none"/>
              </w:rPr>
            </w:pPr>
          </w:p>
        </w:tc>
        <w:tc>
          <w:tcPr>
            <w:tcW w:w="1428" w:type="dxa"/>
            <w:vMerge w:val="continue"/>
            <w:tcBorders>
              <w:top w:val="single" w:color="000000" w:sz="4" w:space="0"/>
              <w:left w:val="single" w:color="000000" w:sz="4" w:space="0"/>
              <w:bottom w:val="single" w:color="auto" w:sz="4" w:space="0"/>
              <w:right w:val="single" w:color="000000" w:sz="4" w:space="0"/>
            </w:tcBorders>
            <w:noWrap w:val="0"/>
            <w:vAlign w:val="center"/>
          </w:tcPr>
          <w:p w14:paraId="67980549">
            <w:pPr>
              <w:suppressAutoHyphens/>
              <w:jc w:val="center"/>
              <w:rPr>
                <w:rFonts w:hint="eastAsia" w:ascii="宋体" w:hAnsi="宋体" w:eastAsia="宋体" w:cs="宋体"/>
                <w:b/>
                <w:bCs/>
                <w:i w:val="0"/>
                <w:iCs w:val="0"/>
                <w:color w:val="000000"/>
                <w:sz w:val="21"/>
                <w:szCs w:val="21"/>
                <w:u w:val="none"/>
              </w:rPr>
            </w:pPr>
          </w:p>
        </w:tc>
        <w:tc>
          <w:tcPr>
            <w:tcW w:w="900" w:type="dxa"/>
            <w:vMerge w:val="continue"/>
            <w:tcBorders>
              <w:top w:val="single" w:color="000000" w:sz="4" w:space="0"/>
              <w:left w:val="single" w:color="000000" w:sz="4" w:space="0"/>
              <w:bottom w:val="single" w:color="auto" w:sz="4" w:space="0"/>
              <w:right w:val="single" w:color="000000" w:sz="4" w:space="0"/>
            </w:tcBorders>
            <w:noWrap w:val="0"/>
            <w:vAlign w:val="center"/>
          </w:tcPr>
          <w:p w14:paraId="54497F05">
            <w:pPr>
              <w:suppressAutoHyphens/>
              <w:jc w:val="center"/>
              <w:rPr>
                <w:rFonts w:hint="eastAsia" w:ascii="宋体" w:hAnsi="宋体" w:eastAsia="宋体" w:cs="宋体"/>
                <w:b/>
                <w:bCs/>
                <w:i w:val="0"/>
                <w:iCs w:val="0"/>
                <w:color w:val="000000"/>
                <w:sz w:val="21"/>
                <w:szCs w:val="21"/>
                <w:u w:val="none"/>
              </w:rPr>
            </w:pPr>
          </w:p>
        </w:tc>
        <w:tc>
          <w:tcPr>
            <w:tcW w:w="1464" w:type="dxa"/>
            <w:vMerge w:val="continue"/>
            <w:tcBorders>
              <w:top w:val="single" w:color="000000" w:sz="4" w:space="0"/>
              <w:left w:val="single" w:color="000000" w:sz="4" w:space="0"/>
              <w:bottom w:val="single" w:color="auto" w:sz="4" w:space="0"/>
              <w:right w:val="single" w:color="000000" w:sz="4" w:space="0"/>
            </w:tcBorders>
            <w:noWrap w:val="0"/>
            <w:vAlign w:val="center"/>
          </w:tcPr>
          <w:p w14:paraId="1BCCE0C4">
            <w:pPr>
              <w:suppressAutoHyphens/>
              <w:jc w:val="center"/>
              <w:rPr>
                <w:rFonts w:hint="eastAsia" w:ascii="宋体" w:hAnsi="宋体" w:eastAsia="宋体" w:cs="宋体"/>
                <w:b/>
                <w:bCs/>
                <w:i w:val="0"/>
                <w:iCs w:val="0"/>
                <w:color w:val="000000"/>
                <w:sz w:val="21"/>
                <w:szCs w:val="21"/>
                <w:u w:val="none"/>
              </w:rPr>
            </w:pPr>
          </w:p>
        </w:tc>
        <w:tc>
          <w:tcPr>
            <w:tcW w:w="1124" w:type="dxa"/>
            <w:vMerge w:val="continue"/>
            <w:tcBorders>
              <w:top w:val="single" w:color="000000" w:sz="4" w:space="0"/>
              <w:left w:val="single" w:color="000000" w:sz="4" w:space="0"/>
              <w:bottom w:val="single" w:color="auto" w:sz="4" w:space="0"/>
              <w:right w:val="single" w:color="000000" w:sz="4" w:space="0"/>
            </w:tcBorders>
            <w:noWrap w:val="0"/>
            <w:vAlign w:val="center"/>
          </w:tcPr>
          <w:p w14:paraId="43B4ADBA">
            <w:pPr>
              <w:suppressAutoHyphens/>
              <w:jc w:val="center"/>
              <w:rPr>
                <w:rFonts w:hint="eastAsia" w:ascii="宋体" w:hAnsi="宋体" w:eastAsia="宋体" w:cs="宋体"/>
                <w:b/>
                <w:bCs/>
                <w:i w:val="0"/>
                <w:iCs w:val="0"/>
                <w:color w:val="000000"/>
                <w:sz w:val="21"/>
                <w:szCs w:val="21"/>
                <w:u w:val="none"/>
              </w:rPr>
            </w:pPr>
          </w:p>
        </w:tc>
        <w:tc>
          <w:tcPr>
            <w:tcW w:w="1177" w:type="dxa"/>
            <w:tcBorders>
              <w:top w:val="single" w:color="000000" w:sz="4" w:space="0"/>
              <w:left w:val="single" w:color="000000" w:sz="4" w:space="0"/>
              <w:bottom w:val="single" w:color="auto" w:sz="4" w:space="0"/>
              <w:right w:val="single" w:color="000000" w:sz="4" w:space="0"/>
            </w:tcBorders>
            <w:noWrap w:val="0"/>
            <w:vAlign w:val="center"/>
          </w:tcPr>
          <w:p w14:paraId="0FFF65C4">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46" w:type="dxa"/>
            <w:tcBorders>
              <w:top w:val="single" w:color="000000" w:sz="4" w:space="0"/>
              <w:left w:val="single" w:color="000000" w:sz="4" w:space="0"/>
              <w:bottom w:val="single" w:color="auto" w:sz="4" w:space="0"/>
              <w:right w:val="single" w:color="000000" w:sz="4" w:space="0"/>
            </w:tcBorders>
            <w:noWrap w:val="0"/>
            <w:vAlign w:val="center"/>
          </w:tcPr>
          <w:p w14:paraId="2F39E890">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负责人</w:t>
            </w:r>
          </w:p>
        </w:tc>
        <w:tc>
          <w:tcPr>
            <w:tcW w:w="1019" w:type="dxa"/>
            <w:tcBorders>
              <w:top w:val="single" w:color="000000" w:sz="4" w:space="0"/>
              <w:left w:val="single" w:color="000000" w:sz="4" w:space="0"/>
              <w:bottom w:val="single" w:color="auto" w:sz="4" w:space="0"/>
              <w:right w:val="single" w:color="000000" w:sz="4" w:space="0"/>
            </w:tcBorders>
            <w:noWrap w:val="0"/>
            <w:vAlign w:val="center"/>
          </w:tcPr>
          <w:p w14:paraId="7C023FDD">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联系方式</w:t>
            </w:r>
          </w:p>
        </w:tc>
        <w:tc>
          <w:tcPr>
            <w:tcW w:w="1155" w:type="dxa"/>
            <w:tcBorders>
              <w:top w:val="single" w:color="000000" w:sz="4" w:space="0"/>
              <w:left w:val="single" w:color="000000" w:sz="4" w:space="0"/>
              <w:bottom w:val="single" w:color="auto" w:sz="4" w:space="0"/>
              <w:right w:val="single" w:color="000000" w:sz="4" w:space="0"/>
            </w:tcBorders>
            <w:noWrap w:val="0"/>
            <w:vAlign w:val="center"/>
          </w:tcPr>
          <w:p w14:paraId="6C4EF211">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90" w:type="dxa"/>
            <w:tcBorders>
              <w:top w:val="single" w:color="000000" w:sz="4" w:space="0"/>
              <w:left w:val="single" w:color="000000" w:sz="4" w:space="0"/>
              <w:bottom w:val="single" w:color="auto" w:sz="4" w:space="0"/>
              <w:right w:val="single" w:color="000000" w:sz="4" w:space="0"/>
            </w:tcBorders>
            <w:noWrap w:val="0"/>
            <w:vAlign w:val="center"/>
          </w:tcPr>
          <w:p w14:paraId="3E20CC38">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经理</w:t>
            </w:r>
          </w:p>
        </w:tc>
        <w:tc>
          <w:tcPr>
            <w:tcW w:w="1152" w:type="dxa"/>
            <w:tcBorders>
              <w:top w:val="single" w:color="000000" w:sz="4" w:space="0"/>
              <w:left w:val="single" w:color="000000" w:sz="4" w:space="0"/>
              <w:bottom w:val="single" w:color="auto" w:sz="4" w:space="0"/>
              <w:right w:val="single" w:color="000000" w:sz="4" w:space="0"/>
            </w:tcBorders>
            <w:noWrap w:val="0"/>
            <w:vAlign w:val="center"/>
          </w:tcPr>
          <w:p w14:paraId="2A6DEA10">
            <w:pPr>
              <w:keepNext w:val="0"/>
              <w:keepLines w:val="0"/>
              <w:widowControl/>
              <w:suppressLineNumbers w:val="0"/>
              <w:suppressAutoHyphens/>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联系方式</w:t>
            </w:r>
          </w:p>
        </w:tc>
        <w:tc>
          <w:tcPr>
            <w:tcW w:w="981" w:type="dxa"/>
            <w:vMerge w:val="continue"/>
            <w:tcBorders>
              <w:top w:val="single" w:color="000000" w:sz="4" w:space="0"/>
              <w:left w:val="single" w:color="000000" w:sz="4" w:space="0"/>
              <w:bottom w:val="single" w:color="auto" w:sz="4" w:space="0"/>
              <w:right w:val="single" w:color="000000" w:sz="4" w:space="0"/>
            </w:tcBorders>
            <w:noWrap w:val="0"/>
            <w:vAlign w:val="center"/>
          </w:tcPr>
          <w:p w14:paraId="69B4BA33">
            <w:pPr>
              <w:suppressAutoHyphens/>
              <w:jc w:val="center"/>
              <w:rPr>
                <w:rFonts w:hint="eastAsia" w:ascii="宋体" w:hAnsi="宋体" w:eastAsia="宋体" w:cs="宋体"/>
                <w:b/>
                <w:bCs/>
                <w:i w:val="0"/>
                <w:iCs w:val="0"/>
                <w:color w:val="000000"/>
                <w:sz w:val="21"/>
                <w:szCs w:val="21"/>
                <w:u w:val="none"/>
              </w:rPr>
            </w:pPr>
          </w:p>
        </w:tc>
        <w:tc>
          <w:tcPr>
            <w:tcW w:w="1231" w:type="dxa"/>
            <w:vMerge w:val="continue"/>
            <w:tcBorders>
              <w:top w:val="single" w:color="000000" w:sz="4" w:space="0"/>
              <w:left w:val="single" w:color="000000" w:sz="4" w:space="0"/>
              <w:bottom w:val="single" w:color="auto" w:sz="4" w:space="0"/>
              <w:right w:val="single" w:color="000000" w:sz="4" w:space="0"/>
            </w:tcBorders>
            <w:noWrap w:val="0"/>
            <w:vAlign w:val="center"/>
          </w:tcPr>
          <w:p w14:paraId="2DB88B79">
            <w:pPr>
              <w:suppressAutoHyphens/>
              <w:jc w:val="center"/>
              <w:rPr>
                <w:rFonts w:hint="eastAsia" w:ascii="宋体" w:hAnsi="宋体" w:eastAsia="宋体" w:cs="宋体"/>
                <w:b/>
                <w:bCs/>
                <w:i w:val="0"/>
                <w:iCs w:val="0"/>
                <w:color w:val="000000"/>
                <w:sz w:val="21"/>
                <w:szCs w:val="21"/>
                <w:u w:val="none"/>
              </w:rPr>
            </w:pPr>
          </w:p>
        </w:tc>
        <w:tc>
          <w:tcPr>
            <w:tcW w:w="1679" w:type="dxa"/>
            <w:tcBorders>
              <w:top w:val="nil"/>
              <w:left w:val="nil"/>
              <w:bottom w:val="nil"/>
              <w:right w:val="nil"/>
            </w:tcBorders>
            <w:noWrap w:val="0"/>
            <w:vAlign w:val="center"/>
          </w:tcPr>
          <w:p w14:paraId="17F4DFB7">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77964713">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0D5D44B">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7E51BA23">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0D4A0D1">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194E4195">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71A32758">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0434BB5C">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4327E376">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4E267B0">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6F7F5E3">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69F3B4BE">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07049375">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0D24DB7B">
            <w:pPr>
              <w:suppressAutoHyphens/>
              <w:jc w:val="center"/>
              <w:rPr>
                <w:rFonts w:hint="eastAsia" w:ascii="仿宋" w:hAnsi="仿宋" w:eastAsia="仿宋" w:cs="仿宋"/>
                <w:i w:val="0"/>
                <w:iCs w:val="0"/>
                <w:color w:val="000000"/>
                <w:sz w:val="16"/>
                <w:szCs w:val="16"/>
                <w:u w:val="none"/>
              </w:rPr>
            </w:pPr>
          </w:p>
        </w:tc>
      </w:tr>
      <w:tr w14:paraId="5B11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972" w:type="dxa"/>
            <w:tcBorders>
              <w:top w:val="single" w:color="auto" w:sz="4" w:space="0"/>
              <w:left w:val="single" w:color="auto" w:sz="4" w:space="0"/>
              <w:bottom w:val="single" w:color="000000" w:sz="4" w:space="0"/>
              <w:right w:val="single" w:color="000000" w:sz="4" w:space="0"/>
            </w:tcBorders>
            <w:noWrap/>
            <w:vAlign w:val="center"/>
          </w:tcPr>
          <w:p w14:paraId="77DEE3D9">
            <w:pPr>
              <w:suppressAutoHyphens/>
              <w:jc w:val="center"/>
              <w:rPr>
                <w:rFonts w:hint="eastAsia" w:ascii="宋体" w:hAnsi="宋体" w:eastAsia="宋体" w:cs="宋体"/>
                <w:i w:val="0"/>
                <w:iCs w:val="0"/>
                <w:color w:val="000000"/>
                <w:sz w:val="21"/>
                <w:szCs w:val="21"/>
                <w:u w:val="none"/>
              </w:rPr>
            </w:pPr>
          </w:p>
        </w:tc>
        <w:tc>
          <w:tcPr>
            <w:tcW w:w="1120" w:type="dxa"/>
            <w:tcBorders>
              <w:top w:val="single" w:color="auto" w:sz="4" w:space="0"/>
              <w:left w:val="single" w:color="000000" w:sz="4" w:space="0"/>
              <w:bottom w:val="single" w:color="000000" w:sz="4" w:space="0"/>
              <w:right w:val="single" w:color="000000" w:sz="4" w:space="0"/>
            </w:tcBorders>
            <w:noWrap w:val="0"/>
            <w:vAlign w:val="center"/>
          </w:tcPr>
          <w:p w14:paraId="0C083665">
            <w:pPr>
              <w:suppressAutoHyphens/>
              <w:jc w:val="center"/>
              <w:rPr>
                <w:rFonts w:hint="eastAsia" w:ascii="宋体" w:hAnsi="宋体" w:eastAsia="宋体" w:cs="宋体"/>
                <w:i w:val="0"/>
                <w:iCs w:val="0"/>
                <w:color w:val="000000"/>
                <w:sz w:val="21"/>
                <w:szCs w:val="21"/>
                <w:u w:val="none"/>
              </w:rPr>
            </w:pPr>
          </w:p>
        </w:tc>
        <w:tc>
          <w:tcPr>
            <w:tcW w:w="1428" w:type="dxa"/>
            <w:tcBorders>
              <w:top w:val="single" w:color="auto" w:sz="4" w:space="0"/>
              <w:left w:val="single" w:color="000000" w:sz="4" w:space="0"/>
              <w:bottom w:val="single" w:color="000000" w:sz="4" w:space="0"/>
              <w:right w:val="single" w:color="000000" w:sz="4" w:space="0"/>
            </w:tcBorders>
            <w:noWrap w:val="0"/>
            <w:vAlign w:val="center"/>
          </w:tcPr>
          <w:p w14:paraId="0581FB40">
            <w:pPr>
              <w:suppressAutoHyphens/>
              <w:jc w:val="center"/>
              <w:rPr>
                <w:rFonts w:hint="eastAsia" w:ascii="宋体" w:hAnsi="宋体" w:eastAsia="宋体" w:cs="宋体"/>
                <w:i w:val="0"/>
                <w:iCs w:val="0"/>
                <w:color w:val="000000"/>
                <w:sz w:val="21"/>
                <w:szCs w:val="21"/>
                <w:u w:val="none"/>
              </w:rPr>
            </w:pPr>
          </w:p>
        </w:tc>
        <w:tc>
          <w:tcPr>
            <w:tcW w:w="900" w:type="dxa"/>
            <w:tcBorders>
              <w:top w:val="single" w:color="auto" w:sz="4" w:space="0"/>
              <w:left w:val="single" w:color="000000" w:sz="4" w:space="0"/>
              <w:bottom w:val="single" w:color="000000" w:sz="4" w:space="0"/>
              <w:right w:val="single" w:color="000000" w:sz="4" w:space="0"/>
            </w:tcBorders>
            <w:noWrap w:val="0"/>
            <w:vAlign w:val="center"/>
          </w:tcPr>
          <w:p w14:paraId="49002A59">
            <w:pPr>
              <w:suppressAutoHyphens/>
              <w:jc w:val="center"/>
              <w:rPr>
                <w:rFonts w:hint="eastAsia" w:ascii="宋体" w:hAnsi="宋体" w:eastAsia="宋体" w:cs="宋体"/>
                <w:i w:val="0"/>
                <w:iCs w:val="0"/>
                <w:color w:val="000000"/>
                <w:sz w:val="21"/>
                <w:szCs w:val="21"/>
                <w:u w:val="none"/>
              </w:rPr>
            </w:pPr>
          </w:p>
        </w:tc>
        <w:tc>
          <w:tcPr>
            <w:tcW w:w="1464" w:type="dxa"/>
            <w:tcBorders>
              <w:top w:val="single" w:color="auto" w:sz="4" w:space="0"/>
              <w:left w:val="single" w:color="000000" w:sz="4" w:space="0"/>
              <w:bottom w:val="single" w:color="000000" w:sz="4" w:space="0"/>
              <w:right w:val="single" w:color="000000" w:sz="4" w:space="0"/>
            </w:tcBorders>
            <w:noWrap w:val="0"/>
            <w:vAlign w:val="center"/>
          </w:tcPr>
          <w:p w14:paraId="73420920">
            <w:pPr>
              <w:suppressAutoHyphens/>
              <w:jc w:val="center"/>
              <w:rPr>
                <w:rFonts w:hint="eastAsia" w:ascii="宋体" w:hAnsi="宋体" w:eastAsia="宋体" w:cs="宋体"/>
                <w:i w:val="0"/>
                <w:iCs w:val="0"/>
                <w:color w:val="000000"/>
                <w:sz w:val="21"/>
                <w:szCs w:val="21"/>
                <w:u w:val="none"/>
              </w:rPr>
            </w:pPr>
          </w:p>
        </w:tc>
        <w:tc>
          <w:tcPr>
            <w:tcW w:w="1124" w:type="dxa"/>
            <w:tcBorders>
              <w:top w:val="single" w:color="auto" w:sz="4" w:space="0"/>
              <w:left w:val="single" w:color="000000" w:sz="4" w:space="0"/>
              <w:bottom w:val="single" w:color="000000" w:sz="4" w:space="0"/>
              <w:right w:val="single" w:color="000000" w:sz="4" w:space="0"/>
            </w:tcBorders>
            <w:noWrap w:val="0"/>
            <w:vAlign w:val="center"/>
          </w:tcPr>
          <w:p w14:paraId="2609DA46">
            <w:pPr>
              <w:suppressAutoHyphens/>
              <w:jc w:val="center"/>
              <w:rPr>
                <w:rFonts w:hint="eastAsia" w:ascii="宋体" w:hAnsi="宋体" w:eastAsia="宋体" w:cs="宋体"/>
                <w:i w:val="0"/>
                <w:iCs w:val="0"/>
                <w:color w:val="000000"/>
                <w:sz w:val="21"/>
                <w:szCs w:val="21"/>
                <w:u w:val="none"/>
              </w:rPr>
            </w:pPr>
          </w:p>
        </w:tc>
        <w:tc>
          <w:tcPr>
            <w:tcW w:w="1177" w:type="dxa"/>
            <w:tcBorders>
              <w:top w:val="single" w:color="auto" w:sz="4" w:space="0"/>
              <w:left w:val="single" w:color="000000" w:sz="4" w:space="0"/>
              <w:bottom w:val="single" w:color="000000" w:sz="4" w:space="0"/>
              <w:right w:val="single" w:color="000000" w:sz="4" w:space="0"/>
            </w:tcBorders>
            <w:noWrap w:val="0"/>
            <w:vAlign w:val="center"/>
          </w:tcPr>
          <w:p w14:paraId="4C73BC97">
            <w:pPr>
              <w:suppressAutoHyphens/>
              <w:jc w:val="center"/>
              <w:rPr>
                <w:rFonts w:hint="eastAsia" w:ascii="宋体" w:hAnsi="宋体" w:eastAsia="宋体" w:cs="宋体"/>
                <w:i w:val="0"/>
                <w:iCs w:val="0"/>
                <w:color w:val="000000"/>
                <w:sz w:val="21"/>
                <w:szCs w:val="21"/>
                <w:u w:val="none"/>
              </w:rPr>
            </w:pPr>
          </w:p>
        </w:tc>
        <w:tc>
          <w:tcPr>
            <w:tcW w:w="646" w:type="dxa"/>
            <w:tcBorders>
              <w:top w:val="single" w:color="auto" w:sz="4" w:space="0"/>
              <w:left w:val="single" w:color="000000" w:sz="4" w:space="0"/>
              <w:bottom w:val="single" w:color="000000" w:sz="4" w:space="0"/>
              <w:right w:val="single" w:color="000000" w:sz="4" w:space="0"/>
            </w:tcBorders>
            <w:noWrap w:val="0"/>
            <w:vAlign w:val="center"/>
          </w:tcPr>
          <w:p w14:paraId="052942EF">
            <w:pPr>
              <w:suppressAutoHyphens/>
              <w:jc w:val="center"/>
              <w:rPr>
                <w:rFonts w:hint="eastAsia" w:ascii="宋体" w:hAnsi="宋体" w:eastAsia="宋体" w:cs="宋体"/>
                <w:i w:val="0"/>
                <w:iCs w:val="0"/>
                <w:color w:val="000000"/>
                <w:sz w:val="21"/>
                <w:szCs w:val="21"/>
                <w:u w:val="none"/>
              </w:rPr>
            </w:pPr>
          </w:p>
        </w:tc>
        <w:tc>
          <w:tcPr>
            <w:tcW w:w="1019" w:type="dxa"/>
            <w:tcBorders>
              <w:top w:val="single" w:color="auto" w:sz="4" w:space="0"/>
              <w:left w:val="single" w:color="000000" w:sz="4" w:space="0"/>
              <w:bottom w:val="single" w:color="000000" w:sz="4" w:space="0"/>
              <w:right w:val="single" w:color="000000" w:sz="4" w:space="0"/>
            </w:tcBorders>
            <w:noWrap w:val="0"/>
            <w:vAlign w:val="center"/>
          </w:tcPr>
          <w:p w14:paraId="6D25349E">
            <w:pPr>
              <w:suppressAutoHyphens/>
              <w:jc w:val="center"/>
              <w:rPr>
                <w:rFonts w:hint="eastAsia" w:ascii="宋体" w:hAnsi="宋体" w:eastAsia="宋体" w:cs="宋体"/>
                <w:i w:val="0"/>
                <w:iCs w:val="0"/>
                <w:color w:val="000000"/>
                <w:sz w:val="21"/>
                <w:szCs w:val="21"/>
                <w:u w:val="none"/>
              </w:rPr>
            </w:pPr>
          </w:p>
        </w:tc>
        <w:tc>
          <w:tcPr>
            <w:tcW w:w="1155" w:type="dxa"/>
            <w:tcBorders>
              <w:top w:val="single" w:color="auto" w:sz="4" w:space="0"/>
              <w:left w:val="single" w:color="000000" w:sz="4" w:space="0"/>
              <w:bottom w:val="single" w:color="000000" w:sz="4" w:space="0"/>
              <w:right w:val="single" w:color="000000" w:sz="4" w:space="0"/>
            </w:tcBorders>
            <w:noWrap w:val="0"/>
            <w:vAlign w:val="center"/>
          </w:tcPr>
          <w:p w14:paraId="36227CBA">
            <w:pPr>
              <w:suppressAutoHyphens/>
              <w:jc w:val="center"/>
              <w:rPr>
                <w:rFonts w:hint="eastAsia" w:ascii="宋体" w:hAnsi="宋体" w:eastAsia="宋体" w:cs="宋体"/>
                <w:i w:val="0"/>
                <w:iCs w:val="0"/>
                <w:color w:val="000000"/>
                <w:sz w:val="21"/>
                <w:szCs w:val="21"/>
                <w:u w:val="none"/>
              </w:rPr>
            </w:pPr>
          </w:p>
        </w:tc>
        <w:tc>
          <w:tcPr>
            <w:tcW w:w="690" w:type="dxa"/>
            <w:tcBorders>
              <w:top w:val="single" w:color="auto" w:sz="4" w:space="0"/>
              <w:left w:val="single" w:color="000000" w:sz="4" w:space="0"/>
              <w:bottom w:val="single" w:color="000000" w:sz="4" w:space="0"/>
              <w:right w:val="single" w:color="000000" w:sz="4" w:space="0"/>
            </w:tcBorders>
            <w:noWrap w:val="0"/>
            <w:vAlign w:val="center"/>
          </w:tcPr>
          <w:p w14:paraId="3B59B16E">
            <w:pPr>
              <w:suppressAutoHyphens/>
              <w:jc w:val="center"/>
              <w:rPr>
                <w:rFonts w:hint="eastAsia" w:ascii="宋体" w:hAnsi="宋体" w:eastAsia="宋体" w:cs="宋体"/>
                <w:i w:val="0"/>
                <w:iCs w:val="0"/>
                <w:color w:val="000000"/>
                <w:sz w:val="21"/>
                <w:szCs w:val="21"/>
                <w:u w:val="none"/>
              </w:rPr>
            </w:pPr>
          </w:p>
        </w:tc>
        <w:tc>
          <w:tcPr>
            <w:tcW w:w="1152" w:type="dxa"/>
            <w:tcBorders>
              <w:top w:val="single" w:color="auto" w:sz="4" w:space="0"/>
              <w:left w:val="single" w:color="000000" w:sz="4" w:space="0"/>
              <w:bottom w:val="single" w:color="000000" w:sz="4" w:space="0"/>
              <w:right w:val="single" w:color="000000" w:sz="4" w:space="0"/>
            </w:tcBorders>
            <w:noWrap w:val="0"/>
            <w:vAlign w:val="center"/>
          </w:tcPr>
          <w:p w14:paraId="34838579">
            <w:pPr>
              <w:suppressAutoHyphens/>
              <w:jc w:val="center"/>
              <w:rPr>
                <w:rFonts w:hint="eastAsia" w:ascii="宋体" w:hAnsi="宋体" w:eastAsia="宋体" w:cs="宋体"/>
                <w:i w:val="0"/>
                <w:iCs w:val="0"/>
                <w:color w:val="000000"/>
                <w:sz w:val="21"/>
                <w:szCs w:val="21"/>
                <w:u w:val="none"/>
              </w:rPr>
            </w:pPr>
          </w:p>
        </w:tc>
        <w:tc>
          <w:tcPr>
            <w:tcW w:w="981" w:type="dxa"/>
            <w:tcBorders>
              <w:top w:val="single" w:color="auto" w:sz="4" w:space="0"/>
              <w:left w:val="single" w:color="000000" w:sz="4" w:space="0"/>
              <w:bottom w:val="single" w:color="000000" w:sz="4" w:space="0"/>
              <w:right w:val="single" w:color="000000" w:sz="4" w:space="0"/>
            </w:tcBorders>
            <w:noWrap w:val="0"/>
            <w:vAlign w:val="center"/>
          </w:tcPr>
          <w:p w14:paraId="142F9A9A">
            <w:pPr>
              <w:suppressAutoHyphens/>
              <w:jc w:val="center"/>
              <w:rPr>
                <w:rFonts w:hint="eastAsia" w:ascii="宋体" w:hAnsi="宋体" w:eastAsia="宋体" w:cs="宋体"/>
                <w:i w:val="0"/>
                <w:iCs w:val="0"/>
                <w:color w:val="000000"/>
                <w:sz w:val="21"/>
                <w:szCs w:val="21"/>
                <w:u w:val="none"/>
              </w:rPr>
            </w:pPr>
          </w:p>
        </w:tc>
        <w:tc>
          <w:tcPr>
            <w:tcW w:w="1231" w:type="dxa"/>
            <w:tcBorders>
              <w:top w:val="single" w:color="auto" w:sz="4" w:space="0"/>
              <w:left w:val="single" w:color="000000" w:sz="4" w:space="0"/>
              <w:bottom w:val="single" w:color="000000" w:sz="4" w:space="0"/>
              <w:right w:val="single" w:color="auto" w:sz="4" w:space="0"/>
            </w:tcBorders>
            <w:noWrap w:val="0"/>
            <w:vAlign w:val="center"/>
          </w:tcPr>
          <w:p w14:paraId="0F19A650">
            <w:pPr>
              <w:suppressAutoHyphens/>
              <w:jc w:val="center"/>
              <w:rPr>
                <w:rFonts w:hint="eastAsia" w:ascii="宋体" w:hAnsi="宋体" w:eastAsia="宋体" w:cs="宋体"/>
                <w:i w:val="0"/>
                <w:iCs w:val="0"/>
                <w:color w:val="000000"/>
                <w:sz w:val="21"/>
                <w:szCs w:val="21"/>
                <w:u w:val="none"/>
              </w:rPr>
            </w:pPr>
          </w:p>
        </w:tc>
        <w:tc>
          <w:tcPr>
            <w:tcW w:w="1679" w:type="dxa"/>
            <w:tcBorders>
              <w:top w:val="nil"/>
              <w:left w:val="single" w:color="auto" w:sz="4" w:space="0"/>
              <w:bottom w:val="nil"/>
              <w:right w:val="nil"/>
            </w:tcBorders>
            <w:noWrap w:val="0"/>
            <w:vAlign w:val="center"/>
          </w:tcPr>
          <w:p w14:paraId="35BF00E6">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0EC8A1B">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080F2651">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6BB48C1B">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0841191F">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1405AE3F">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6884D38D">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D6B1EC5">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4213DCC">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15B5C587">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2F5A7061">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009CBF34">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4E5CFFFF">
            <w:pPr>
              <w:suppressAutoHyphens/>
              <w:jc w:val="center"/>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0"/>
            <w:vAlign w:val="center"/>
          </w:tcPr>
          <w:p w14:paraId="33A83A6D">
            <w:pPr>
              <w:suppressAutoHyphens/>
              <w:jc w:val="center"/>
              <w:rPr>
                <w:rFonts w:hint="eastAsia" w:ascii="仿宋" w:hAnsi="仿宋" w:eastAsia="仿宋" w:cs="仿宋"/>
                <w:i w:val="0"/>
                <w:iCs w:val="0"/>
                <w:color w:val="000000"/>
                <w:sz w:val="16"/>
                <w:szCs w:val="16"/>
                <w:u w:val="none"/>
              </w:rPr>
            </w:pPr>
          </w:p>
        </w:tc>
      </w:tr>
      <w:tr w14:paraId="07A0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972" w:type="dxa"/>
            <w:tcBorders>
              <w:top w:val="single" w:color="000000" w:sz="4" w:space="0"/>
              <w:left w:val="single" w:color="auto" w:sz="4" w:space="0"/>
              <w:bottom w:val="single" w:color="auto" w:sz="4" w:space="0"/>
              <w:right w:val="single" w:color="000000" w:sz="4" w:space="0"/>
            </w:tcBorders>
            <w:noWrap/>
            <w:vAlign w:val="center"/>
          </w:tcPr>
          <w:p w14:paraId="61D126DA">
            <w:pPr>
              <w:suppressAutoHyphens/>
              <w:jc w:val="center"/>
              <w:rPr>
                <w:rFonts w:hint="eastAsia" w:ascii="仿宋" w:hAnsi="仿宋" w:eastAsia="仿宋" w:cs="仿宋"/>
                <w:i w:val="0"/>
                <w:iCs w:val="0"/>
                <w:color w:val="000000"/>
                <w:sz w:val="16"/>
                <w:szCs w:val="16"/>
                <w:u w:val="none"/>
              </w:rPr>
            </w:pPr>
          </w:p>
        </w:tc>
        <w:tc>
          <w:tcPr>
            <w:tcW w:w="1120" w:type="dxa"/>
            <w:tcBorders>
              <w:top w:val="single" w:color="000000" w:sz="4" w:space="0"/>
              <w:left w:val="single" w:color="000000" w:sz="4" w:space="0"/>
              <w:bottom w:val="single" w:color="auto" w:sz="4" w:space="0"/>
              <w:right w:val="single" w:color="000000" w:sz="4" w:space="0"/>
            </w:tcBorders>
            <w:noWrap w:val="0"/>
            <w:vAlign w:val="center"/>
          </w:tcPr>
          <w:p w14:paraId="4AC2D622">
            <w:pPr>
              <w:suppressAutoHyphens/>
              <w:jc w:val="center"/>
              <w:rPr>
                <w:rFonts w:hint="eastAsia" w:ascii="仿宋" w:hAnsi="仿宋" w:eastAsia="仿宋" w:cs="仿宋"/>
                <w:i w:val="0"/>
                <w:iCs w:val="0"/>
                <w:color w:val="000000"/>
                <w:sz w:val="18"/>
                <w:szCs w:val="18"/>
                <w:u w:val="none"/>
              </w:rPr>
            </w:pPr>
          </w:p>
        </w:tc>
        <w:tc>
          <w:tcPr>
            <w:tcW w:w="1428" w:type="dxa"/>
            <w:tcBorders>
              <w:top w:val="single" w:color="000000" w:sz="4" w:space="0"/>
              <w:left w:val="single" w:color="000000" w:sz="4" w:space="0"/>
              <w:bottom w:val="single" w:color="auto" w:sz="4" w:space="0"/>
              <w:right w:val="single" w:color="000000" w:sz="4" w:space="0"/>
            </w:tcBorders>
            <w:noWrap w:val="0"/>
            <w:vAlign w:val="center"/>
          </w:tcPr>
          <w:p w14:paraId="17EE6708">
            <w:pPr>
              <w:suppressAutoHyphens/>
              <w:jc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auto" w:sz="4" w:space="0"/>
              <w:right w:val="single" w:color="000000" w:sz="4" w:space="0"/>
            </w:tcBorders>
            <w:noWrap w:val="0"/>
            <w:vAlign w:val="center"/>
          </w:tcPr>
          <w:p w14:paraId="03CB7D98">
            <w:pPr>
              <w:suppressAutoHyphens/>
              <w:jc w:val="center"/>
              <w:rPr>
                <w:rFonts w:hint="eastAsia" w:ascii="仿宋" w:hAnsi="仿宋" w:eastAsia="仿宋" w:cs="仿宋"/>
                <w:i w:val="0"/>
                <w:iCs w:val="0"/>
                <w:color w:val="000000"/>
                <w:sz w:val="18"/>
                <w:szCs w:val="18"/>
                <w:u w:val="none"/>
              </w:rPr>
            </w:pPr>
          </w:p>
        </w:tc>
        <w:tc>
          <w:tcPr>
            <w:tcW w:w="1464" w:type="dxa"/>
            <w:tcBorders>
              <w:top w:val="single" w:color="000000" w:sz="4" w:space="0"/>
              <w:left w:val="single" w:color="000000" w:sz="4" w:space="0"/>
              <w:bottom w:val="single" w:color="auto" w:sz="4" w:space="0"/>
              <w:right w:val="single" w:color="000000" w:sz="4" w:space="0"/>
            </w:tcBorders>
            <w:noWrap w:val="0"/>
            <w:vAlign w:val="center"/>
          </w:tcPr>
          <w:p w14:paraId="1CFADF47">
            <w:pPr>
              <w:suppressAutoHyphens/>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single" w:color="auto" w:sz="4" w:space="0"/>
              <w:right w:val="single" w:color="000000" w:sz="4" w:space="0"/>
            </w:tcBorders>
            <w:noWrap w:val="0"/>
            <w:vAlign w:val="center"/>
          </w:tcPr>
          <w:p w14:paraId="2CF80550">
            <w:pPr>
              <w:suppressAutoHyphens/>
              <w:jc w:val="center"/>
              <w:rPr>
                <w:rFonts w:hint="eastAsia" w:ascii="仿宋" w:hAnsi="仿宋" w:eastAsia="仿宋" w:cs="仿宋"/>
                <w:i w:val="0"/>
                <w:iCs w:val="0"/>
                <w:color w:val="000000"/>
                <w:sz w:val="18"/>
                <w:szCs w:val="18"/>
                <w:u w:val="none"/>
              </w:rPr>
            </w:pPr>
          </w:p>
        </w:tc>
        <w:tc>
          <w:tcPr>
            <w:tcW w:w="1177" w:type="dxa"/>
            <w:tcBorders>
              <w:top w:val="single" w:color="000000" w:sz="4" w:space="0"/>
              <w:left w:val="single" w:color="000000" w:sz="4" w:space="0"/>
              <w:bottom w:val="single" w:color="auto" w:sz="4" w:space="0"/>
              <w:right w:val="single" w:color="000000" w:sz="4" w:space="0"/>
            </w:tcBorders>
            <w:noWrap w:val="0"/>
            <w:vAlign w:val="center"/>
          </w:tcPr>
          <w:p w14:paraId="2668AA23">
            <w:pPr>
              <w:suppressAutoHyphens/>
              <w:jc w:val="center"/>
              <w:rPr>
                <w:rFonts w:hint="eastAsia" w:ascii="仿宋" w:hAnsi="仿宋" w:eastAsia="仿宋" w:cs="仿宋"/>
                <w:i w:val="0"/>
                <w:iCs w:val="0"/>
                <w:color w:val="000000"/>
                <w:sz w:val="18"/>
                <w:szCs w:val="18"/>
                <w:u w:val="none"/>
              </w:rPr>
            </w:pPr>
          </w:p>
        </w:tc>
        <w:tc>
          <w:tcPr>
            <w:tcW w:w="646" w:type="dxa"/>
            <w:tcBorders>
              <w:top w:val="single" w:color="000000" w:sz="4" w:space="0"/>
              <w:left w:val="single" w:color="000000" w:sz="4" w:space="0"/>
              <w:bottom w:val="single" w:color="auto" w:sz="4" w:space="0"/>
              <w:right w:val="single" w:color="000000" w:sz="4" w:space="0"/>
            </w:tcBorders>
            <w:noWrap w:val="0"/>
            <w:vAlign w:val="center"/>
          </w:tcPr>
          <w:p w14:paraId="6791CDB3">
            <w:pPr>
              <w:suppressAutoHyphens/>
              <w:jc w:val="center"/>
              <w:rPr>
                <w:rFonts w:hint="eastAsia" w:ascii="仿宋" w:hAnsi="仿宋" w:eastAsia="仿宋" w:cs="仿宋"/>
                <w:i w:val="0"/>
                <w:iCs w:val="0"/>
                <w:color w:val="000000"/>
                <w:sz w:val="18"/>
                <w:szCs w:val="18"/>
                <w:u w:val="none"/>
              </w:rPr>
            </w:pPr>
          </w:p>
        </w:tc>
        <w:tc>
          <w:tcPr>
            <w:tcW w:w="1019" w:type="dxa"/>
            <w:tcBorders>
              <w:top w:val="single" w:color="000000" w:sz="4" w:space="0"/>
              <w:left w:val="single" w:color="000000" w:sz="4" w:space="0"/>
              <w:bottom w:val="single" w:color="auto" w:sz="4" w:space="0"/>
              <w:right w:val="single" w:color="000000" w:sz="4" w:space="0"/>
            </w:tcBorders>
            <w:noWrap w:val="0"/>
            <w:vAlign w:val="center"/>
          </w:tcPr>
          <w:p w14:paraId="2C0E480A">
            <w:pPr>
              <w:suppressAutoHyphens/>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14:paraId="38D261DF">
            <w:pPr>
              <w:suppressAutoHyphens/>
              <w:jc w:val="center"/>
              <w:rPr>
                <w:rFonts w:hint="eastAsia" w:ascii="仿宋" w:hAnsi="仿宋" w:eastAsia="仿宋" w:cs="仿宋"/>
                <w:i w:val="0"/>
                <w:iCs w:val="0"/>
                <w:color w:val="000000"/>
                <w:sz w:val="18"/>
                <w:szCs w:val="18"/>
                <w:u w:val="none"/>
              </w:rPr>
            </w:pPr>
          </w:p>
        </w:tc>
        <w:tc>
          <w:tcPr>
            <w:tcW w:w="690" w:type="dxa"/>
            <w:tcBorders>
              <w:top w:val="single" w:color="000000" w:sz="4" w:space="0"/>
              <w:left w:val="single" w:color="000000" w:sz="4" w:space="0"/>
              <w:bottom w:val="single" w:color="auto" w:sz="4" w:space="0"/>
              <w:right w:val="single" w:color="000000" w:sz="4" w:space="0"/>
            </w:tcBorders>
            <w:noWrap w:val="0"/>
            <w:vAlign w:val="center"/>
          </w:tcPr>
          <w:p w14:paraId="35596BE2">
            <w:pPr>
              <w:suppressAutoHyphens/>
              <w:jc w:val="center"/>
              <w:rPr>
                <w:rFonts w:hint="eastAsia" w:ascii="仿宋" w:hAnsi="仿宋" w:eastAsia="仿宋" w:cs="仿宋"/>
                <w:i w:val="0"/>
                <w:iCs w:val="0"/>
                <w:color w:val="000000"/>
                <w:sz w:val="18"/>
                <w:szCs w:val="18"/>
                <w:u w:val="none"/>
              </w:rPr>
            </w:pPr>
          </w:p>
        </w:tc>
        <w:tc>
          <w:tcPr>
            <w:tcW w:w="1152" w:type="dxa"/>
            <w:tcBorders>
              <w:top w:val="single" w:color="000000" w:sz="4" w:space="0"/>
              <w:left w:val="single" w:color="000000" w:sz="4" w:space="0"/>
              <w:bottom w:val="single" w:color="auto" w:sz="4" w:space="0"/>
              <w:right w:val="single" w:color="000000" w:sz="4" w:space="0"/>
            </w:tcBorders>
            <w:noWrap w:val="0"/>
            <w:vAlign w:val="center"/>
          </w:tcPr>
          <w:p w14:paraId="71CFDA1B">
            <w:pPr>
              <w:suppressAutoHyphens/>
              <w:jc w:val="center"/>
              <w:rPr>
                <w:rFonts w:hint="eastAsia" w:ascii="仿宋" w:hAnsi="仿宋" w:eastAsia="仿宋" w:cs="仿宋"/>
                <w:i w:val="0"/>
                <w:iCs w:val="0"/>
                <w:color w:val="000000"/>
                <w:sz w:val="18"/>
                <w:szCs w:val="18"/>
                <w:u w:val="none"/>
              </w:rPr>
            </w:pPr>
          </w:p>
        </w:tc>
        <w:tc>
          <w:tcPr>
            <w:tcW w:w="981" w:type="dxa"/>
            <w:tcBorders>
              <w:top w:val="single" w:color="000000" w:sz="4" w:space="0"/>
              <w:left w:val="single" w:color="000000" w:sz="4" w:space="0"/>
              <w:bottom w:val="single" w:color="auto" w:sz="4" w:space="0"/>
              <w:right w:val="single" w:color="000000" w:sz="4" w:space="0"/>
            </w:tcBorders>
            <w:noWrap w:val="0"/>
            <w:vAlign w:val="center"/>
          </w:tcPr>
          <w:p w14:paraId="68088B1E">
            <w:pPr>
              <w:suppressAutoHyphens/>
              <w:jc w:val="center"/>
              <w:rPr>
                <w:rFonts w:hint="eastAsia" w:ascii="仿宋" w:hAnsi="仿宋" w:eastAsia="仿宋" w:cs="仿宋"/>
                <w:i w:val="0"/>
                <w:iCs w:val="0"/>
                <w:color w:val="000000"/>
                <w:sz w:val="18"/>
                <w:szCs w:val="18"/>
                <w:u w:val="none"/>
              </w:rPr>
            </w:pPr>
          </w:p>
        </w:tc>
        <w:tc>
          <w:tcPr>
            <w:tcW w:w="1231" w:type="dxa"/>
            <w:tcBorders>
              <w:top w:val="single" w:color="000000" w:sz="4" w:space="0"/>
              <w:left w:val="single" w:color="000000" w:sz="4" w:space="0"/>
              <w:bottom w:val="single" w:color="auto" w:sz="4" w:space="0"/>
              <w:right w:val="single" w:color="auto" w:sz="4" w:space="0"/>
            </w:tcBorders>
            <w:noWrap w:val="0"/>
            <w:vAlign w:val="center"/>
          </w:tcPr>
          <w:p w14:paraId="7EAEED31">
            <w:pPr>
              <w:suppressAutoHyphens/>
              <w:jc w:val="center"/>
              <w:rPr>
                <w:rFonts w:hint="eastAsia" w:ascii="仿宋" w:hAnsi="仿宋" w:eastAsia="仿宋" w:cs="仿宋"/>
                <w:i w:val="0"/>
                <w:iCs w:val="0"/>
                <w:color w:val="000000"/>
                <w:sz w:val="16"/>
                <w:szCs w:val="16"/>
                <w:u w:val="none"/>
              </w:rPr>
            </w:pPr>
          </w:p>
        </w:tc>
        <w:tc>
          <w:tcPr>
            <w:tcW w:w="1679" w:type="dxa"/>
            <w:tcBorders>
              <w:top w:val="nil"/>
              <w:left w:val="single" w:color="auto" w:sz="4" w:space="0"/>
              <w:bottom w:val="nil"/>
              <w:right w:val="nil"/>
            </w:tcBorders>
            <w:noWrap/>
            <w:vAlign w:val="center"/>
          </w:tcPr>
          <w:p w14:paraId="7F4235B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7F8AE7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E5E72FD">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1E3CF9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5AA6477">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4FE7C25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2F3EFAE">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8DD577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2A7D006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34CCC6E">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E8BA826">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F31F248">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3F363A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9EE29C7">
            <w:pPr>
              <w:suppressAutoHyphens/>
              <w:rPr>
                <w:rFonts w:hint="eastAsia" w:ascii="仿宋" w:hAnsi="仿宋" w:eastAsia="仿宋" w:cs="仿宋"/>
                <w:i w:val="0"/>
                <w:iCs w:val="0"/>
                <w:color w:val="000000"/>
                <w:sz w:val="16"/>
                <w:szCs w:val="16"/>
                <w:u w:val="none"/>
              </w:rPr>
            </w:pPr>
          </w:p>
        </w:tc>
      </w:tr>
      <w:tr w14:paraId="392A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15059" w:type="dxa"/>
            <w:gridSpan w:val="14"/>
            <w:vMerge w:val="restart"/>
            <w:tcBorders>
              <w:top w:val="single" w:color="auto" w:sz="4" w:space="0"/>
              <w:left w:val="nil"/>
              <w:bottom w:val="nil"/>
              <w:right w:val="nil"/>
            </w:tcBorders>
            <w:noWrap w:val="0"/>
            <w:vAlign w:val="center"/>
          </w:tcPr>
          <w:p w14:paraId="653AB37A">
            <w:pPr>
              <w:keepNext w:val="0"/>
              <w:keepLines w:val="0"/>
              <w:widowControl/>
              <w:suppressLineNumbers w:val="0"/>
              <w:suppressAutoHyphens/>
              <w:jc w:val="left"/>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备注：区属各行业主管部门、各街道办事处、焦作经济开发区管委会、中晟集团等相关单位，如有在建项目请在开工前5个工作日内及时按照表格内容将项目信息推送至中站区人社局，邮箱zzqldjc@126.com，联系电话2958033。</w:t>
            </w:r>
          </w:p>
        </w:tc>
        <w:tc>
          <w:tcPr>
            <w:tcW w:w="1679" w:type="dxa"/>
            <w:tcBorders>
              <w:top w:val="nil"/>
              <w:left w:val="nil"/>
              <w:bottom w:val="nil"/>
              <w:right w:val="nil"/>
            </w:tcBorders>
            <w:noWrap/>
            <w:vAlign w:val="center"/>
          </w:tcPr>
          <w:p w14:paraId="519C0B4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006EF8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4945D5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8CB702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676784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F3B114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4742F37">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2B99DEE8">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233A835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A0EA2F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4D648CCD">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846BAB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5AAC110">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F3BCDF1">
            <w:pPr>
              <w:suppressAutoHyphens/>
              <w:rPr>
                <w:rFonts w:hint="eastAsia" w:ascii="仿宋" w:hAnsi="仿宋" w:eastAsia="仿宋" w:cs="仿宋"/>
                <w:i w:val="0"/>
                <w:iCs w:val="0"/>
                <w:color w:val="000000"/>
                <w:sz w:val="16"/>
                <w:szCs w:val="16"/>
                <w:u w:val="none"/>
              </w:rPr>
            </w:pPr>
          </w:p>
        </w:tc>
      </w:tr>
      <w:tr w14:paraId="2E6F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15059" w:type="dxa"/>
            <w:gridSpan w:val="14"/>
            <w:vMerge w:val="continue"/>
            <w:tcBorders>
              <w:top w:val="nil"/>
              <w:left w:val="nil"/>
              <w:bottom w:val="nil"/>
              <w:right w:val="nil"/>
            </w:tcBorders>
            <w:noWrap w:val="0"/>
            <w:vAlign w:val="center"/>
          </w:tcPr>
          <w:p w14:paraId="0A7763D1">
            <w:pPr>
              <w:suppressAutoHyphens/>
              <w:jc w:val="left"/>
              <w:rPr>
                <w:rFonts w:hint="eastAsia" w:ascii="黑体" w:hAnsi="宋体" w:eastAsia="黑体" w:cs="黑体"/>
                <w:i w:val="0"/>
                <w:iCs w:val="0"/>
                <w:color w:val="000000"/>
                <w:sz w:val="24"/>
                <w:szCs w:val="24"/>
                <w:u w:val="none"/>
              </w:rPr>
            </w:pPr>
          </w:p>
        </w:tc>
        <w:tc>
          <w:tcPr>
            <w:tcW w:w="1679" w:type="dxa"/>
            <w:tcBorders>
              <w:top w:val="nil"/>
              <w:left w:val="nil"/>
              <w:bottom w:val="nil"/>
              <w:right w:val="nil"/>
            </w:tcBorders>
            <w:noWrap/>
            <w:vAlign w:val="center"/>
          </w:tcPr>
          <w:p w14:paraId="463585F8">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705F509">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C29F46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57A6F11">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F2388C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D0DA4C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89645A1">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5C6D66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AAC3318">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557902E">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2E9C80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273CC4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EE86BD8">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65339C6">
            <w:pPr>
              <w:suppressAutoHyphens/>
              <w:rPr>
                <w:rFonts w:hint="eastAsia" w:ascii="仿宋" w:hAnsi="仿宋" w:eastAsia="仿宋" w:cs="仿宋"/>
                <w:i w:val="0"/>
                <w:iCs w:val="0"/>
                <w:color w:val="000000"/>
                <w:sz w:val="16"/>
                <w:szCs w:val="16"/>
                <w:u w:val="none"/>
              </w:rPr>
            </w:pPr>
          </w:p>
        </w:tc>
      </w:tr>
      <w:tr w14:paraId="25B0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15059" w:type="dxa"/>
            <w:gridSpan w:val="14"/>
            <w:vMerge w:val="continue"/>
            <w:tcBorders>
              <w:top w:val="nil"/>
              <w:left w:val="nil"/>
              <w:bottom w:val="nil"/>
              <w:right w:val="nil"/>
            </w:tcBorders>
            <w:noWrap w:val="0"/>
            <w:vAlign w:val="center"/>
          </w:tcPr>
          <w:p w14:paraId="15888C1C">
            <w:pPr>
              <w:suppressAutoHyphens/>
              <w:jc w:val="left"/>
              <w:rPr>
                <w:rFonts w:hint="eastAsia" w:ascii="黑体" w:hAnsi="宋体" w:eastAsia="黑体" w:cs="黑体"/>
                <w:i w:val="0"/>
                <w:iCs w:val="0"/>
                <w:color w:val="000000"/>
                <w:sz w:val="24"/>
                <w:szCs w:val="24"/>
                <w:u w:val="none"/>
              </w:rPr>
            </w:pPr>
          </w:p>
        </w:tc>
        <w:tc>
          <w:tcPr>
            <w:tcW w:w="1679" w:type="dxa"/>
            <w:tcBorders>
              <w:top w:val="nil"/>
              <w:left w:val="nil"/>
              <w:bottom w:val="nil"/>
              <w:right w:val="nil"/>
            </w:tcBorders>
            <w:noWrap/>
            <w:vAlign w:val="center"/>
          </w:tcPr>
          <w:p w14:paraId="5343EAA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CC2BEE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6C9642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9D0B89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6C0B03A">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0D4F64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FA77436">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CA40A91">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73BF05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02BC83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0B5234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FC3ACC1">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4626B0D">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D5197EC">
            <w:pPr>
              <w:suppressAutoHyphens/>
              <w:rPr>
                <w:rFonts w:hint="eastAsia" w:ascii="仿宋" w:hAnsi="仿宋" w:eastAsia="仿宋" w:cs="仿宋"/>
                <w:i w:val="0"/>
                <w:iCs w:val="0"/>
                <w:color w:val="000000"/>
                <w:sz w:val="16"/>
                <w:szCs w:val="16"/>
                <w:u w:val="none"/>
              </w:rPr>
            </w:pPr>
          </w:p>
        </w:tc>
      </w:tr>
      <w:tr w14:paraId="6203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15059" w:type="dxa"/>
            <w:gridSpan w:val="14"/>
            <w:vMerge w:val="continue"/>
            <w:tcBorders>
              <w:top w:val="nil"/>
              <w:left w:val="nil"/>
              <w:bottom w:val="nil"/>
              <w:right w:val="nil"/>
            </w:tcBorders>
            <w:noWrap w:val="0"/>
            <w:vAlign w:val="center"/>
          </w:tcPr>
          <w:p w14:paraId="6182F6FD">
            <w:pPr>
              <w:suppressAutoHyphens/>
              <w:jc w:val="left"/>
              <w:rPr>
                <w:rFonts w:hint="eastAsia" w:ascii="黑体" w:hAnsi="宋体" w:eastAsia="黑体" w:cs="黑体"/>
                <w:i w:val="0"/>
                <w:iCs w:val="0"/>
                <w:color w:val="000000"/>
                <w:sz w:val="24"/>
                <w:szCs w:val="24"/>
                <w:u w:val="none"/>
              </w:rPr>
            </w:pPr>
          </w:p>
        </w:tc>
        <w:tc>
          <w:tcPr>
            <w:tcW w:w="1679" w:type="dxa"/>
            <w:tcBorders>
              <w:top w:val="nil"/>
              <w:left w:val="nil"/>
              <w:bottom w:val="nil"/>
              <w:right w:val="nil"/>
            </w:tcBorders>
            <w:noWrap/>
            <w:vAlign w:val="center"/>
          </w:tcPr>
          <w:p w14:paraId="4474E12E">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2417996C">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4A537471">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97E8C27">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345FF1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0FEF62D4">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BD9CC99">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A3D4197">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FD0078D">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7714D39">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41B8217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FF9D05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4D8BA466">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20E53D0">
            <w:pPr>
              <w:suppressAutoHyphens/>
              <w:rPr>
                <w:rFonts w:hint="eastAsia" w:ascii="仿宋" w:hAnsi="仿宋" w:eastAsia="仿宋" w:cs="仿宋"/>
                <w:i w:val="0"/>
                <w:iCs w:val="0"/>
                <w:color w:val="000000"/>
                <w:sz w:val="16"/>
                <w:szCs w:val="16"/>
                <w:u w:val="none"/>
              </w:rPr>
            </w:pPr>
          </w:p>
        </w:tc>
      </w:tr>
      <w:tr w14:paraId="2AE4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15059" w:type="dxa"/>
            <w:gridSpan w:val="14"/>
            <w:vMerge w:val="continue"/>
            <w:tcBorders>
              <w:top w:val="nil"/>
              <w:left w:val="nil"/>
              <w:bottom w:val="nil"/>
              <w:right w:val="nil"/>
            </w:tcBorders>
            <w:noWrap w:val="0"/>
            <w:vAlign w:val="center"/>
          </w:tcPr>
          <w:p w14:paraId="4512367C">
            <w:pPr>
              <w:suppressAutoHyphens/>
              <w:jc w:val="left"/>
              <w:rPr>
                <w:rFonts w:hint="eastAsia" w:ascii="黑体" w:hAnsi="宋体" w:eastAsia="黑体" w:cs="黑体"/>
                <w:i w:val="0"/>
                <w:iCs w:val="0"/>
                <w:color w:val="000000"/>
                <w:sz w:val="24"/>
                <w:szCs w:val="24"/>
                <w:u w:val="none"/>
              </w:rPr>
            </w:pPr>
          </w:p>
        </w:tc>
        <w:tc>
          <w:tcPr>
            <w:tcW w:w="1679" w:type="dxa"/>
            <w:tcBorders>
              <w:top w:val="nil"/>
              <w:left w:val="nil"/>
              <w:bottom w:val="nil"/>
              <w:right w:val="nil"/>
            </w:tcBorders>
            <w:noWrap/>
            <w:vAlign w:val="center"/>
          </w:tcPr>
          <w:p w14:paraId="51A36FC9">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53BDBFD3">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833F105">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D5AE3B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49700199">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EA7A0B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AFF28B5">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42C1BA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2E68AC6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1F956AB">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75E6ECAF">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1C6D7EF2">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33D5F83E">
            <w:pPr>
              <w:suppressAutoHyphens/>
              <w:rPr>
                <w:rFonts w:hint="eastAsia" w:ascii="仿宋" w:hAnsi="仿宋" w:eastAsia="仿宋" w:cs="仿宋"/>
                <w:i w:val="0"/>
                <w:iCs w:val="0"/>
                <w:color w:val="000000"/>
                <w:sz w:val="16"/>
                <w:szCs w:val="16"/>
                <w:u w:val="none"/>
              </w:rPr>
            </w:pPr>
          </w:p>
        </w:tc>
        <w:tc>
          <w:tcPr>
            <w:tcW w:w="1080" w:type="dxa"/>
            <w:tcBorders>
              <w:top w:val="nil"/>
              <w:left w:val="nil"/>
              <w:bottom w:val="nil"/>
              <w:right w:val="nil"/>
            </w:tcBorders>
            <w:noWrap/>
            <w:vAlign w:val="center"/>
          </w:tcPr>
          <w:p w14:paraId="608D8089">
            <w:pPr>
              <w:suppressAutoHyphens/>
              <w:rPr>
                <w:rFonts w:hint="eastAsia" w:ascii="仿宋" w:hAnsi="仿宋" w:eastAsia="仿宋" w:cs="仿宋"/>
                <w:i w:val="0"/>
                <w:iCs w:val="0"/>
                <w:color w:val="000000"/>
                <w:sz w:val="16"/>
                <w:szCs w:val="16"/>
                <w:u w:val="none"/>
              </w:rPr>
            </w:pPr>
          </w:p>
        </w:tc>
      </w:tr>
    </w:tbl>
    <w:p w14:paraId="0F28ABE2">
      <w:pPr>
        <w:pStyle w:val="2"/>
        <w:spacing w:after="0" w:line="560" w:lineRule="exact"/>
        <w:jc w:val="left"/>
        <w:rPr>
          <w:rFonts w:hint="default" w:ascii="Times New Roman" w:hAnsi="Times New Roman" w:eastAsia="仿宋_GB2312"/>
          <w:sz w:val="32"/>
          <w:szCs w:val="32"/>
          <w:lang w:val="en-US" w:eastAsia="zh-CN"/>
        </w:rPr>
        <w:sectPr>
          <w:headerReference r:id="rId5" w:type="default"/>
          <w:footerReference r:id="rId7" w:type="default"/>
          <w:headerReference r:id="rId6" w:type="even"/>
          <w:footerReference r:id="rId8" w:type="even"/>
          <w:pgSz w:w="16838" w:h="11906" w:orient="landscape"/>
          <w:pgMar w:top="1020" w:right="964" w:bottom="1474" w:left="850" w:header="720" w:footer="720" w:gutter="0"/>
          <w:pgNumType w:fmt="numberInDash"/>
          <w:cols w:space="720" w:num="1"/>
          <w:docGrid w:type="lines" w:linePitch="312" w:charSpace="0"/>
        </w:sectPr>
      </w:pPr>
    </w:p>
    <w:p w14:paraId="15BD183B">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3453AE2A">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ascii="Times New Roman" w:hAnsi="Times New Roman" w:eastAsia="黑体" w:cs="Times New Roman"/>
          <w:sz w:val="32"/>
          <w:szCs w:val="32"/>
        </w:rPr>
      </w:pPr>
    </w:p>
    <w:p w14:paraId="7CBEC05E">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焦作市中站区xx局</w:t>
      </w:r>
    </w:p>
    <w:p w14:paraId="7A6B3B40">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农民工工资保证金缴纳通知书</w:t>
      </w:r>
    </w:p>
    <w:p w14:paraId="4261F7A3">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Times New Roman" w:hAnsi="Times New Roman" w:eastAsia="新宋体" w:cs="Times New Roman"/>
          <w:b/>
          <w:color w:val="000000"/>
          <w:spacing w:val="-20"/>
          <w:sz w:val="44"/>
          <w:szCs w:val="44"/>
        </w:rPr>
      </w:pPr>
      <w:r>
        <w:rPr>
          <w:rFonts w:ascii="Times New Roman" w:hAnsi="Times New Roman" w:eastAsia="新宋体" w:cs="Times New Roman"/>
          <w:b/>
          <w:color w:val="000000"/>
          <w:spacing w:val="-20"/>
          <w:sz w:val="44"/>
          <w:szCs w:val="44"/>
        </w:rPr>
        <w:t xml:space="preserve">                    </w:t>
      </w:r>
    </w:p>
    <w:p w14:paraId="639DAD55">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Times New Roman" w:hAnsi="Times New Roman" w:eastAsia="仿宋" w:cs="Times New Roman"/>
          <w:color w:val="000000"/>
          <w:sz w:val="30"/>
          <w:szCs w:val="30"/>
        </w:rPr>
      </w:pPr>
      <w:r>
        <w:rPr>
          <w:rFonts w:ascii="Times New Roman" w:hAnsi="Times New Roman" w:eastAsia="新宋体" w:cs="Times New Roman"/>
          <w:b/>
          <w:color w:val="000000"/>
          <w:spacing w:val="-20"/>
          <w:sz w:val="44"/>
          <w:szCs w:val="44"/>
        </w:rPr>
        <w:t xml:space="preserve">              </w:t>
      </w:r>
      <w:r>
        <w:rPr>
          <w:rFonts w:ascii="Times New Roman" w:hAnsi="Times New Roman" w:eastAsia="新宋体" w:cs="Times New Roman"/>
          <w:b/>
          <w:color w:val="000000"/>
          <w:spacing w:val="-20"/>
          <w:sz w:val="32"/>
          <w:szCs w:val="32"/>
        </w:rPr>
        <w:t xml:space="preserve">   </w:t>
      </w:r>
      <w:r>
        <w:rPr>
          <w:rFonts w:hint="eastAsia" w:eastAsia="新宋体" w:cs="Times New Roman"/>
          <w:b/>
          <w:color w:val="000000"/>
          <w:spacing w:val="-20"/>
          <w:sz w:val="32"/>
          <w:szCs w:val="32"/>
          <w:lang w:val="en-US" w:eastAsia="zh-CN"/>
        </w:rPr>
        <w:t xml:space="preserve"> </w:t>
      </w:r>
      <w:r>
        <w:rPr>
          <w:rFonts w:ascii="Times New Roman" w:hAnsi="Times New Roman" w:eastAsia="楷体_GB2312" w:cs="Times New Roman"/>
          <w:color w:val="000000"/>
          <w:sz w:val="32"/>
          <w:szCs w:val="32"/>
        </w:rPr>
        <w:t>中区xx农保通字〔    〕第</w:t>
      </w:r>
      <w:r>
        <w:rPr>
          <w:rFonts w:ascii="Times New Roman" w:hAnsi="Times New Roman" w:eastAsia="楷体_GB2312" w:cs="Times New Roman"/>
          <w:color w:val="000000"/>
          <w:sz w:val="32"/>
          <w:szCs w:val="32"/>
          <w:u w:val="single"/>
          <w:lang w:val="en"/>
        </w:rPr>
        <w:t xml:space="preserve">   </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号</w:t>
      </w:r>
    </w:p>
    <w:p w14:paraId="23A277BF">
      <w:pPr>
        <w:pStyle w:val="4"/>
        <w:keepNext w:val="0"/>
        <w:keepLines w:val="0"/>
        <w:pageBreakBefore w:val="0"/>
        <w:widowControl w:val="0"/>
        <w:kinsoku/>
        <w:wordWrap/>
        <w:overflowPunct/>
        <w:topLinePunct w:val="0"/>
        <w:autoSpaceDE/>
        <w:autoSpaceDN/>
        <w:bidi w:val="0"/>
        <w:adjustRightInd/>
        <w:snapToGrid/>
        <w:spacing w:after="0" w:line="520" w:lineRule="exac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lang w:val="en"/>
        </w:rPr>
        <w:t xml:space="preserve">                         </w:t>
      </w:r>
      <w:r>
        <w:rPr>
          <w:rFonts w:ascii="Times New Roman" w:hAnsi="Times New Roman" w:eastAsia="仿宋_GB2312" w:cs="Times New Roman"/>
          <w:color w:val="000000"/>
          <w:sz w:val="32"/>
          <w:szCs w:val="32"/>
        </w:rPr>
        <w:t>：</w:t>
      </w:r>
    </w:p>
    <w:p w14:paraId="6F7EA8DD">
      <w:pPr>
        <w:pStyle w:val="4"/>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你单位施工的</w:t>
      </w:r>
      <w:r>
        <w:rPr>
          <w:rFonts w:ascii="Times New Roman" w:hAnsi="Times New Roman" w:eastAsia="仿宋_GB2312" w:cs="Times New Roman"/>
          <w:color w:val="000000"/>
          <w:sz w:val="32"/>
          <w:szCs w:val="32"/>
          <w:u w:val="single"/>
          <w:lang w:val="en"/>
        </w:rPr>
        <w:t xml:space="preserve">       </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u w:val="single"/>
          <w:lang w:val="en"/>
        </w:rPr>
        <w:t xml:space="preserve"> </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u w:val="single"/>
          <w:lang w:val="en"/>
        </w:rPr>
        <w:t xml:space="preserve">  </w:t>
      </w:r>
      <w:r>
        <w:rPr>
          <w:rFonts w:ascii="Times New Roman" w:hAnsi="Times New Roman" w:eastAsia="仿宋_GB2312" w:cs="Times New Roman"/>
          <w:color w:val="000000"/>
          <w:sz w:val="32"/>
          <w:szCs w:val="32"/>
        </w:rPr>
        <w:t>项目，尚未缴纳农民工工资保证金,根据《河南省工程建设领域农民工工资保证</w:t>
      </w:r>
      <w:r>
        <w:rPr>
          <w:rFonts w:hint="eastAsia" w:ascii="Times New Roman" w:hAnsi="Times New Roman" w:eastAsia="仿宋_GB2312" w:cs="Times New Roman"/>
          <w:color w:val="000000"/>
          <w:sz w:val="32"/>
          <w:szCs w:val="32"/>
        </w:rPr>
        <w:t>金实施办法》相关规定，现通知你单位务必于15日内到中站</w:t>
      </w:r>
      <w:r>
        <w:rPr>
          <w:rFonts w:hint="eastAsia" w:eastAsia="仿宋_GB2312" w:cs="Times New Roman"/>
          <w:color w:val="000000"/>
          <w:sz w:val="32"/>
          <w:szCs w:val="32"/>
          <w:lang w:eastAsia="zh-CN"/>
        </w:rPr>
        <w:t>区人力资源社会保障局</w:t>
      </w:r>
      <w:r>
        <w:rPr>
          <w:rFonts w:hint="eastAsia" w:ascii="Times New Roman" w:hAnsi="Times New Roman" w:eastAsia="仿宋_GB2312" w:cs="Times New Roman"/>
          <w:color w:val="000000"/>
          <w:sz w:val="32"/>
          <w:szCs w:val="32"/>
        </w:rPr>
        <w:t>办理农民工工资保证金业务。如不按期办理中站</w:t>
      </w:r>
      <w:r>
        <w:rPr>
          <w:rFonts w:hint="eastAsia" w:eastAsia="仿宋_GB2312" w:cs="Times New Roman"/>
          <w:color w:val="000000"/>
          <w:sz w:val="32"/>
          <w:szCs w:val="32"/>
          <w:lang w:eastAsia="zh-CN"/>
        </w:rPr>
        <w:t>区人力资源社会保障局</w:t>
      </w:r>
      <w:r>
        <w:rPr>
          <w:rFonts w:hint="eastAsia" w:ascii="Times New Roman" w:hAnsi="Times New Roman" w:eastAsia="仿宋_GB2312" w:cs="Times New Roman"/>
          <w:color w:val="000000"/>
          <w:sz w:val="32"/>
          <w:szCs w:val="32"/>
        </w:rPr>
        <w:t xml:space="preserve">将依据《保障农民工工资支付条例》第五十五条之规定，对你单位处5万元以上10万元以下的罚款，并在信用中国网站上进行公示。 </w:t>
      </w:r>
    </w:p>
    <w:p w14:paraId="2604FA89">
      <w:pPr>
        <w:pStyle w:val="4"/>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办理保证金业务联系电话：2958033</w:t>
      </w:r>
    </w:p>
    <w:p w14:paraId="767D07B3">
      <w:pPr>
        <w:pStyle w:val="4"/>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办理地址：中站区劳动保障维权中心</w:t>
      </w:r>
    </w:p>
    <w:p w14:paraId="29A8818B">
      <w:pPr>
        <w:pStyle w:val="4"/>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Times New Roman" w:hAnsi="Times New Roman" w:eastAsia="仿宋_GB2312" w:cs="Times New Roman"/>
          <w:color w:val="000000"/>
          <w:sz w:val="32"/>
          <w:szCs w:val="32"/>
        </w:rPr>
      </w:pPr>
    </w:p>
    <w:p w14:paraId="5F76E96A">
      <w:pPr>
        <w:pStyle w:val="4"/>
        <w:keepNext w:val="0"/>
        <w:keepLines w:val="0"/>
        <w:pageBreakBefore w:val="0"/>
        <w:widowControl w:val="0"/>
        <w:kinsoku/>
        <w:wordWrap/>
        <w:overflowPunct/>
        <w:topLinePunct w:val="0"/>
        <w:autoSpaceDE/>
        <w:autoSpaceDN/>
        <w:bidi w:val="0"/>
        <w:adjustRightInd/>
        <w:snapToGrid/>
        <w:spacing w:after="0" w:line="500" w:lineRule="exact"/>
        <w:ind w:firstLine="6400" w:firstLineChars="20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盖章</w:t>
      </w:r>
    </w:p>
    <w:p w14:paraId="2F4EF441">
      <w:pPr>
        <w:pStyle w:val="4"/>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年   月   日</w:t>
      </w:r>
    </w:p>
    <w:p w14:paraId="1C75742D">
      <w:pPr>
        <w:pStyle w:val="4"/>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Times New Roman" w:hAnsi="Times New Roman" w:eastAsia="仿宋_GB2312" w:cs="Times New Roman"/>
          <w:color w:val="000000"/>
          <w:sz w:val="32"/>
          <w:szCs w:val="32"/>
        </w:rPr>
      </w:pPr>
    </w:p>
    <w:p w14:paraId="027E4F42">
      <w:pPr>
        <w:pStyle w:val="4"/>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Times New Roman" w:hAnsi="Times New Roman" w:eastAsia="仿宋_GB2312" w:cs="Times New Roman"/>
          <w:color w:val="000000"/>
          <w:sz w:val="32"/>
          <w:szCs w:val="32"/>
        </w:rPr>
      </w:pPr>
    </w:p>
    <w:p w14:paraId="3CCCACB5">
      <w:pPr>
        <w:pStyle w:val="4"/>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本通知书已于     年    月    日    时    分收到。</w:t>
      </w:r>
    </w:p>
    <w:p w14:paraId="2EC5A266">
      <w:pPr>
        <w:pStyle w:val="4"/>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签收人或盖章：          职务：        联系电话：             </w:t>
      </w:r>
    </w:p>
    <w:p w14:paraId="0C9BCB25">
      <w:pPr>
        <w:pStyle w:val="4"/>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ascii="Times New Roman" w:hAnsi="Times New Roman" w:eastAsia="黑体" w:cs="Times New Roman"/>
          <w:sz w:val="32"/>
          <w:szCs w:val="32"/>
        </w:rPr>
      </w:pPr>
      <w:r>
        <w:rPr>
          <w:rFonts w:hint="eastAsia" w:ascii="Times New Roman" w:hAnsi="Times New Roman" w:eastAsia="仿宋_GB2312" w:cs="Times New Roman"/>
          <w:color w:val="000000"/>
          <w:sz w:val="32"/>
          <w:szCs w:val="32"/>
        </w:rPr>
        <w:t>备注：本通知书一式两份</w:t>
      </w:r>
    </w:p>
    <w:p w14:paraId="792A7D13">
      <w:pPr>
        <w:suppressAutoHyphens/>
        <w:spacing w:line="540" w:lineRule="exact"/>
        <w:rPr>
          <w:rFonts w:ascii="Times New Roman" w:hAnsi="Times New Roman" w:eastAsia="黑体" w:cs="Times New Roman"/>
          <w:sz w:val="32"/>
          <w:szCs w:val="32"/>
        </w:rPr>
        <w:sectPr>
          <w:headerReference r:id="rId9" w:type="default"/>
          <w:footerReference r:id="rId11" w:type="default"/>
          <w:headerReference r:id="rId10" w:type="even"/>
          <w:footerReference r:id="rId12" w:type="even"/>
          <w:pgSz w:w="11906" w:h="16838"/>
          <w:pgMar w:top="2098" w:right="1474" w:bottom="1984" w:left="1587" w:header="851" w:footer="1417" w:gutter="0"/>
          <w:pgNumType w:fmt="numberInDash" w:start="13"/>
          <w:cols w:space="0" w:num="1"/>
          <w:rtlGutter w:val="0"/>
          <w:docGrid w:type="lines" w:linePitch="312" w:charSpace="0"/>
        </w:sectPr>
      </w:pPr>
    </w:p>
    <w:p w14:paraId="66AA5BB1">
      <w:pPr>
        <w:suppressAutoHyphens/>
        <w:spacing w:line="540" w:lineRule="exact"/>
        <w:rPr>
          <w:rFonts w:hint="eastAsia" w:ascii="Times New Roman" w:hAnsi="Times New Roman" w:eastAsia="黑体" w:cs="Times New Roman"/>
          <w:color w:val="000000"/>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color w:val="000000"/>
          <w:sz w:val="32"/>
          <w:szCs w:val="32"/>
          <w:lang w:val="en-US" w:eastAsia="zh-CN"/>
        </w:rPr>
        <w:t>3</w:t>
      </w:r>
    </w:p>
    <w:p w14:paraId="6D8FD717">
      <w:pPr>
        <w:suppressAutoHyphens/>
        <w:spacing w:line="540" w:lineRule="exact"/>
        <w:rPr>
          <w:rFonts w:hint="eastAsia" w:ascii="Times New Roman" w:hAnsi="Times New Roman" w:eastAsia="黑体" w:cs="Times New Roman"/>
          <w:color w:val="000000"/>
          <w:sz w:val="32"/>
          <w:szCs w:val="32"/>
          <w:lang w:val="en-US" w:eastAsia="zh-CN"/>
        </w:rPr>
      </w:pPr>
    </w:p>
    <w:p w14:paraId="03D84203">
      <w:pPr>
        <w:keepNext w:val="0"/>
        <w:keepLines w:val="0"/>
        <w:pageBreakBefore w:val="0"/>
        <w:widowControl w:val="0"/>
        <w:suppressAutoHyphens/>
        <w:wordWrap/>
        <w:overflowPunct/>
        <w:topLinePunct w:val="0"/>
        <w:bidi w:val="0"/>
        <w:spacing w:line="50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焦作市农民工工资保证金业务经办机构名录</w:t>
      </w:r>
    </w:p>
    <w:p w14:paraId="4F9D3C69">
      <w:pPr>
        <w:keepNext w:val="0"/>
        <w:keepLines w:val="0"/>
        <w:pageBreakBefore w:val="0"/>
        <w:widowControl w:val="0"/>
        <w:suppressAutoHyphens/>
        <w:wordWrap/>
        <w:overflowPunct/>
        <w:topLinePunct w:val="0"/>
        <w:bidi w:val="0"/>
        <w:spacing w:line="500" w:lineRule="exact"/>
        <w:ind w:left="5440" w:hanging="5236" w:hangingChars="1700"/>
        <w:rPr>
          <w:rFonts w:hint="eastAsia" w:ascii="仿宋_GB2312" w:hAnsi="仿宋_GB2312" w:eastAsia="仿宋_GB2312" w:cs="仿宋_GB2312"/>
          <w:spacing w:val="-6"/>
          <w:sz w:val="32"/>
          <w:szCs w:val="32"/>
        </w:rPr>
      </w:pPr>
    </w:p>
    <w:p w14:paraId="70D7E653">
      <w:pPr>
        <w:keepNext w:val="0"/>
        <w:keepLines w:val="0"/>
        <w:pageBreakBefore w:val="0"/>
        <w:widowControl w:val="0"/>
        <w:suppressAutoHyphens/>
        <w:wordWrap/>
        <w:overflowPunct/>
        <w:topLinePunct w:val="0"/>
        <w:bidi w:val="0"/>
        <w:spacing w:line="50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一、银行7家</w:t>
      </w:r>
    </w:p>
    <w:p w14:paraId="0C2A2BDA">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中国农业银行股份有限公司焦作分行</w:t>
      </w:r>
    </w:p>
    <w:p w14:paraId="7301A7FC">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中国邮储银行股份有限公司焦作分行</w:t>
      </w:r>
    </w:p>
    <w:p w14:paraId="6D3086E0">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中国银行股份有限公司焦作分行</w:t>
      </w:r>
    </w:p>
    <w:p w14:paraId="7403BF04">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中国建设银行股份有限公司焦作分行</w:t>
      </w:r>
    </w:p>
    <w:p w14:paraId="278B4707">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交通银行股份有限公司焦作分行</w:t>
      </w:r>
    </w:p>
    <w:p w14:paraId="1D5667AA">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中原银行股份有限公司焦作分行</w:t>
      </w:r>
    </w:p>
    <w:p w14:paraId="6B1A2211">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中信银行股份有限公司焦作分行</w:t>
      </w:r>
    </w:p>
    <w:p w14:paraId="3E3C8502">
      <w:pPr>
        <w:keepNext w:val="0"/>
        <w:keepLines w:val="0"/>
        <w:pageBreakBefore w:val="0"/>
        <w:widowControl w:val="0"/>
        <w:suppressAutoHyphens/>
        <w:wordWrap/>
        <w:overflowPunct/>
        <w:topLinePunct w:val="0"/>
        <w:bidi w:val="0"/>
        <w:spacing w:line="50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二、保险公司4家</w:t>
      </w:r>
    </w:p>
    <w:p w14:paraId="1DBFAC16">
      <w:pPr>
        <w:keepNext w:val="0"/>
        <w:keepLines w:val="0"/>
        <w:pageBreakBefore w:val="0"/>
        <w:widowControl w:val="0"/>
        <w:suppressAutoHyphens/>
        <w:wordWrap/>
        <w:overflowPunct/>
        <w:topLinePunct w:val="0"/>
        <w:bidi w:val="0"/>
        <w:spacing w:line="5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中国人寿财产保险有限公司焦作市中心支公司（暂停新业务）</w:t>
      </w:r>
    </w:p>
    <w:p w14:paraId="10FA2E84">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中国平安财产保险股份有限公司焦作中心支公司</w:t>
      </w:r>
    </w:p>
    <w:p w14:paraId="791A4D29">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中华联合财产保险股份有限公司焦作中心支公司</w:t>
      </w:r>
    </w:p>
    <w:p w14:paraId="0BDC87CA">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阳光财产保险股份有限公司焦作中心支公司</w:t>
      </w:r>
    </w:p>
    <w:p w14:paraId="49789F41">
      <w:pPr>
        <w:keepNext w:val="0"/>
        <w:keepLines w:val="0"/>
        <w:pageBreakBefore w:val="0"/>
        <w:widowControl w:val="0"/>
        <w:numPr>
          <w:ilvl w:val="0"/>
          <w:numId w:val="2"/>
        </w:numPr>
        <w:suppressAutoHyphens/>
        <w:wordWrap/>
        <w:overflowPunct/>
        <w:topLinePunct w:val="0"/>
        <w:bidi w:val="0"/>
        <w:spacing w:line="50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工程担保公司4家</w:t>
      </w:r>
    </w:p>
    <w:p w14:paraId="423252B4">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河南嘉泰工程担保有限公司</w:t>
      </w:r>
    </w:p>
    <w:p w14:paraId="3FE83CE9">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河南诚建工程投资担保有限责任公司</w:t>
      </w:r>
    </w:p>
    <w:p w14:paraId="5B6A5B87">
      <w:pPr>
        <w:keepNext w:val="0"/>
        <w:keepLines w:val="0"/>
        <w:pageBreakBefore w:val="0"/>
        <w:widowControl w:val="0"/>
        <w:suppressAutoHyphens/>
        <w:wordWrap/>
        <w:overflowPunct/>
        <w:topLinePunct w:val="0"/>
        <w:bidi w:val="0"/>
        <w:spacing w:line="50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河南华诚工程担保有限公司</w:t>
      </w:r>
    </w:p>
    <w:p w14:paraId="6FC09A37">
      <w:pPr>
        <w:keepNext w:val="0"/>
        <w:keepLines w:val="0"/>
        <w:pageBreakBefore w:val="0"/>
        <w:widowControl w:val="0"/>
        <w:kinsoku w:val="0"/>
        <w:wordWrap/>
        <w:overflowPunct/>
        <w:topLinePunct w:val="0"/>
        <w:autoSpaceDE w:val="0"/>
        <w:autoSpaceDN w:val="0"/>
        <w:bidi w:val="0"/>
        <w:adjustRightInd w:val="0"/>
        <w:snapToGrid w:val="0"/>
        <w:spacing w:after="120" w:line="500" w:lineRule="exact"/>
        <w:ind w:left="0" w:leftChars="0"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河南华融工程担保有限公司</w:t>
      </w:r>
      <w:bookmarkEnd w:id="0"/>
      <w:bookmarkEnd w:id="1"/>
    </w:p>
    <w:p w14:paraId="31E86E53">
      <w:pPr>
        <w:pStyle w:val="2"/>
        <w:rPr>
          <w:rFonts w:hint="eastAsia"/>
          <w:lang w:val="en-US" w:eastAsia="zh-CN"/>
        </w:rPr>
      </w:pPr>
    </w:p>
    <w:p w14:paraId="344A5AF0">
      <w:pPr>
        <w:pStyle w:val="3"/>
        <w:rPr>
          <w:rFonts w:hint="eastAsia"/>
          <w:lang w:val="en-US" w:eastAsia="zh-CN"/>
        </w:rPr>
      </w:pPr>
    </w:p>
    <w:p w14:paraId="7BE6CC2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280" w:firstLineChars="100"/>
        <w:jc w:val="left"/>
        <w:textAlignment w:val="auto"/>
      </w:pPr>
      <w:r>
        <w:rPr>
          <w:rFonts w:hint="eastAsia" w:ascii="仿宋_GB2312" w:hAnsi="Calibri" w:eastAsia="仿宋_GB2312" w:cs="Times New Roman"/>
          <w:snapToGrid/>
          <w:color w:val="auto"/>
          <w:kern w:val="0"/>
          <w:sz w:val="28"/>
          <w:szCs w:val="28"/>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414020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65pt;margin-top:32.6pt;height:0pt;width:441pt;z-index:251661312;mso-width-relative:page;mso-height-relative:page;" filled="f" stroked="t" coordsize="21600,21600" o:gfxdata="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lN6fUAAAABwEAAA8AAAAAAAAAAQAgAAAAIgAAAGRycy9kb3ducmV2Lnht&#10;bFBLAQIUABQAAAAIAIdO4kAfBZIW/QEAAPwDAAAOAAAAAAAAAAEAIAAAACMBAABkcnMvZTJvRG9j&#10;LnhtbFBLBQYAAAAABgAGAFkBAACSBQAAAAA=&#10;">
                <v:fill on="f" focussize="0,0"/>
                <v:stroke weight="0.5pt" color="#000000" joinstyle="miter"/>
                <v:imagedata o:title=""/>
                <o:lock v:ext="edit" aspectratio="f"/>
              </v:line>
            </w:pict>
          </mc:Fallback>
        </mc:AlternateContent>
      </w:r>
      <w:r>
        <w:rPr>
          <w:rFonts w:hint="eastAsia" w:ascii="仿宋_GB2312" w:hAnsi="Calibri" w:eastAsia="仿宋_GB2312" w:cs="Times New Roman"/>
          <w:snapToGrid/>
          <w:color w:val="auto"/>
          <w:kern w:val="0"/>
          <w:sz w:val="28"/>
          <w:szCs w:val="28"/>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71120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65pt;margin-top:5.6pt;height:0pt;width:441pt;z-index:251660288;mso-width-relative:page;mso-height-relative:page;" filled="f" stroked="t" coordsize="21600,21600" o:gfxdata="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Izb40gAAAAcBAAAPAAAAAAAAAAEAIAAAACIAAABkcnMvZG93bnJldi54bWxQ&#10;SwECFAAUAAAACACHTuJArKdeEv0BAAD8AwAADgAAAAAAAAABACAAAAAhAQAAZHJzL2Uyb0RvYy54&#10;bWxQSwUGAAAAAAYABgBZAQAAkAUAAAAA&#10;">
                <v:fill on="f" focussize="0,0"/>
                <v:stroke weight="0.5pt" color="#000000" joinstyle="miter"/>
                <v:imagedata o:title=""/>
                <o:lock v:ext="edit" aspectratio="f"/>
              </v:line>
            </w:pict>
          </mc:Fallback>
        </mc:AlternateContent>
      </w:r>
      <w:r>
        <w:rPr>
          <w:rFonts w:hint="eastAsia" w:ascii="仿宋_GB2312" w:hAnsi="Calibri" w:eastAsia="仿宋_GB2312" w:cs="Times New Roman"/>
          <w:snapToGrid/>
          <w:color w:val="auto"/>
          <w:kern w:val="0"/>
          <w:sz w:val="28"/>
          <w:szCs w:val="28"/>
          <w:lang w:val="en-US" w:eastAsia="zh-CN" w:bidi="ar"/>
        </w:rPr>
        <w:t xml:space="preserve">中站区人民政府办公室                    2025年  月  </w:t>
      </w:r>
      <w:bookmarkStart w:id="4" w:name="_GoBack"/>
      <w:bookmarkEnd w:id="4"/>
      <w:r>
        <w:rPr>
          <w:rFonts w:hint="eastAsia" w:ascii="仿宋_GB2312" w:hAnsi="Calibri" w:eastAsia="仿宋_GB2312" w:cs="Times New Roman"/>
          <w:snapToGrid/>
          <w:color w:val="auto"/>
          <w:kern w:val="0"/>
          <w:sz w:val="28"/>
          <w:szCs w:val="28"/>
          <w:lang w:val="en-US" w:eastAsia="zh-CN" w:bidi="ar"/>
        </w:rPr>
        <w:t>日印发</w:t>
      </w:r>
    </w:p>
    <w:sectPr>
      <w:footerReference r:id="rId13" w:type="default"/>
      <w:footerReference r:id="rId14" w:type="even"/>
      <w:pgSz w:w="11906" w:h="16838"/>
      <w:pgMar w:top="2098" w:right="1474" w:bottom="1984" w:left="1587" w:header="851" w:footer="1417" w:gutter="0"/>
      <w:pgNumType w:fmt="numberInDash" w:start="1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0C99">
    <w:pPr>
      <w:pStyle w:val="7"/>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posOffset>5076190</wp:posOffset>
              </wp:positionH>
              <wp:positionV relativeFrom="paragraph">
                <wp:posOffset>-101600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097C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99.7pt;margin-top:-8pt;height:144pt;width:144pt;mso-position-horizontal-relative:margin;mso-wrap-style:none;z-index:251659264;mso-width-relative:page;mso-height-relative:page;" filled="f" stroked="f" coordsize="21600,21600" o:gfxdata="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NV8Hd1wAAAAwBAAAPAAAAAAAAAAEAIAAAACIAAABkcnMvZG93&#10;bnJldi54bWxQSwECFAAUAAAACACHTuJA5KL+z8gBAACZAwAADgAAAAAAAAABACAAAAAmAQAAZHJz&#10;L2Uyb0RvYy54bWxQSwUGAAAAAAYABgBZAQAAYAUAAAAA&#10;">
              <v:fill on="f" focussize="0,0"/>
              <v:stroke on="f"/>
              <v:imagedata o:title=""/>
              <o:lock v:ext="edit" aspectratio="f"/>
              <v:textbox inset="0mm,0mm,0mm,0mm" style="mso-fit-shape-to-text:t;">
                <w:txbxContent>
                  <w:p w14:paraId="69B097C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CD52">
    <w:pPr>
      <w:pStyle w:val="7"/>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margin">
                <wp:posOffset>-17780</wp:posOffset>
              </wp:positionH>
              <wp:positionV relativeFrom="paragraph">
                <wp:posOffset>25400</wp:posOffset>
              </wp:positionV>
              <wp:extent cx="1828800" cy="2393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a:noFill/>
                      </a:ln>
                    </wps:spPr>
                    <wps:txbx>
                      <w:txbxContent>
                        <w:p w14:paraId="0A31F1F0">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wps:txbx>
                    <wps:bodyPr wrap="none" lIns="0" tIns="0" rIns="0" bIns="0" upright="0">
                      <a:noAutofit/>
                    </wps:bodyPr>
                  </wps:wsp>
                </a:graphicData>
              </a:graphic>
            </wp:anchor>
          </w:drawing>
        </mc:Choice>
        <mc:Fallback>
          <w:pict>
            <v:shape id="_x0000_s1026" o:spid="_x0000_s1026" o:spt="202" type="#_x0000_t202" style="position:absolute;left:0pt;margin-left:-1.4pt;margin-top:2pt;height:18.85pt;width:144pt;mso-position-horizontal-relative:margin;mso-wrap-style:none;z-index:251661312;mso-width-relative:page;mso-height-relative:page;" filled="f" stroked="f" coordsize="21600,21600" o:gfxdata="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pJcvXUAAAABwEAAA8AAAAAAAAAAQAgAAAAIgAAAGRycy9k&#10;b3ducmV2LnhtbFBLAQIUABQAAAAIAIdO4kAEiLWlzQEAAJgDAAAOAAAAAAAAAAEAIAAAACMBAABk&#10;cnMvZTJvRG9jLnhtbFBLBQYAAAAABgAGAFkBAABiBQAAAAA=&#10;">
              <v:fill on="f" focussize="0,0"/>
              <v:stroke on="f"/>
              <v:imagedata o:title=""/>
              <o:lock v:ext="edit" aspectratio="f"/>
              <v:textbox inset="0mm,0mm,0mm,0mm">
                <w:txbxContent>
                  <w:p w14:paraId="0A31F1F0">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5A5E">
    <w:pPr>
      <w:pStyle w:val="7"/>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margin">
                <wp:posOffset>-171450</wp:posOffset>
              </wp:positionH>
              <wp:positionV relativeFrom="paragraph">
                <wp:posOffset>-929640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14:paraId="36A453F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3.5pt;margin-top:-73.2pt;height:144pt;width:144pt;mso-position-horizontal-relative:margin;mso-wrap-style:none;rotation:5898240f;z-index:251662336;mso-width-relative:page;mso-height-relative:page;" filled="f" stroked="f" coordsize="21600,21600" o:gfxdata="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a3eBLZAAAADAEAAA8AAAAAAAAAAQAgAAAA&#10;IgAAAGRycy9kb3ducmV2LnhtbFBLAQIUABQAAAAIAIdO4kDUvJnz0QEAAKkDAAAOAAAAAAAAAAEA&#10;IAAAACgBAABkcnMvZTJvRG9jLnhtbFBLBQYAAAAABgAGAFkBAABrBQAAAAA=&#10;">
              <v:fill on="f" focussize="0,0"/>
              <v:stroke on="f"/>
              <v:imagedata o:title=""/>
              <o:lock v:ext="edit" aspectratio="f"/>
              <v:textbox inset="0mm,0mm,0mm,0mm" style="mso-fit-shape-to-text:t;">
                <w:txbxContent>
                  <w:p w14:paraId="36A453F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C034">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422D">
    <w:pPr>
      <w:pStyle w:val="7"/>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4A15">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E25E">
    <w:pPr>
      <w:pStyle w:val="7"/>
      <w:rPr>
        <w:rFonts w:ascii="Times New Roman" w:hAnsi="Times New Roman" w:eastAsia="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4AD4A">
                          <w:pPr>
                            <w:pStyle w:val="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34AD4A">
                    <w:pPr>
                      <w:pStyle w:val="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8A86">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8F32E">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48F32E">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9B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71A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2E6C">
    <w:pPr>
      <w:pStyle w:val="6"/>
      <w:rPr>
        <w:rFonts w:hint="eastAsia" w:ascii="宋体" w:hAnsi="宋体" w:eastAsia="宋体" w:cs="宋体"/>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6BE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F7499"/>
    <w:multiLevelType w:val="singleLevel"/>
    <w:tmpl w:val="F9EF7499"/>
    <w:lvl w:ilvl="0" w:tentative="0">
      <w:start w:val="2"/>
      <w:numFmt w:val="chineseCounting"/>
      <w:suff w:val="nothing"/>
      <w:lvlText w:val="%1、"/>
      <w:lvlJc w:val="left"/>
      <w:rPr>
        <w:rFonts w:hint="eastAsia"/>
      </w:rPr>
    </w:lvl>
  </w:abstractNum>
  <w:abstractNum w:abstractNumId="1">
    <w:nsid w:val="6E0783B1"/>
    <w:multiLevelType w:val="singleLevel"/>
    <w:tmpl w:val="6E0783B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D3DA4"/>
    <w:rsid w:val="037F7FC9"/>
    <w:rsid w:val="04353D90"/>
    <w:rsid w:val="04D0434A"/>
    <w:rsid w:val="06616ECE"/>
    <w:rsid w:val="068032FB"/>
    <w:rsid w:val="07AD5B25"/>
    <w:rsid w:val="07DA2491"/>
    <w:rsid w:val="08161CD1"/>
    <w:rsid w:val="0C4B6ABF"/>
    <w:rsid w:val="0C8C1A96"/>
    <w:rsid w:val="0E436F73"/>
    <w:rsid w:val="10AD3B8F"/>
    <w:rsid w:val="10D84020"/>
    <w:rsid w:val="12A459ED"/>
    <w:rsid w:val="14BF5618"/>
    <w:rsid w:val="184A61CB"/>
    <w:rsid w:val="1A981754"/>
    <w:rsid w:val="1C091D8D"/>
    <w:rsid w:val="1F667210"/>
    <w:rsid w:val="208A3342"/>
    <w:rsid w:val="228F3BE2"/>
    <w:rsid w:val="2AAC3611"/>
    <w:rsid w:val="2ECA6CA3"/>
    <w:rsid w:val="37FE4F99"/>
    <w:rsid w:val="3B9F2236"/>
    <w:rsid w:val="3F4E2F7A"/>
    <w:rsid w:val="3FF7DBD8"/>
    <w:rsid w:val="4099698A"/>
    <w:rsid w:val="493A5544"/>
    <w:rsid w:val="49D058E8"/>
    <w:rsid w:val="4C196E06"/>
    <w:rsid w:val="4C2C4D07"/>
    <w:rsid w:val="4E9179F4"/>
    <w:rsid w:val="4FEE23CC"/>
    <w:rsid w:val="50F6750C"/>
    <w:rsid w:val="51DB1491"/>
    <w:rsid w:val="52E72B9F"/>
    <w:rsid w:val="555D1BAF"/>
    <w:rsid w:val="572D4116"/>
    <w:rsid w:val="57784E8F"/>
    <w:rsid w:val="58C25F4F"/>
    <w:rsid w:val="5C2469F9"/>
    <w:rsid w:val="5C2667BC"/>
    <w:rsid w:val="5D3F7649"/>
    <w:rsid w:val="5D8146A7"/>
    <w:rsid w:val="5E6D3DA4"/>
    <w:rsid w:val="603C0D63"/>
    <w:rsid w:val="656B2747"/>
    <w:rsid w:val="66F02492"/>
    <w:rsid w:val="66F113FD"/>
    <w:rsid w:val="67BF8825"/>
    <w:rsid w:val="68792AA5"/>
    <w:rsid w:val="693BF076"/>
    <w:rsid w:val="6BA3774C"/>
    <w:rsid w:val="6EDD7E3B"/>
    <w:rsid w:val="71035115"/>
    <w:rsid w:val="71C468B3"/>
    <w:rsid w:val="725400CE"/>
    <w:rsid w:val="76F374B5"/>
    <w:rsid w:val="791572EB"/>
    <w:rsid w:val="7E344D4A"/>
    <w:rsid w:val="EF9DABCD"/>
    <w:rsid w:val="F7FEC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next w:val="3"/>
    <w:qFormat/>
    <w:uiPriority w:val="0"/>
    <w:pPr>
      <w:widowControl w:val="0"/>
      <w:suppressAutoHyphens/>
      <w:spacing w:after="140" w:line="276"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First Indent 2"/>
    <w:next w:val="1"/>
    <w:qFormat/>
    <w:uiPriority w:val="0"/>
    <w:pPr>
      <w:widowControl w:val="0"/>
      <w:ind w:firstLine="420" w:firstLineChars="200"/>
      <w:jc w:val="both"/>
    </w:pPr>
    <w:rPr>
      <w:rFonts w:ascii="仿宋_GB2312" w:hAnsi="华文楷体" w:eastAsia="仿宋_GB2312" w:cs="黑体"/>
      <w:kern w:val="2"/>
      <w:sz w:val="21"/>
      <w:szCs w:val="22"/>
      <w:lang w:val="en-US" w:eastAsia="zh-CN" w:bidi="ar-SA"/>
    </w:rPr>
  </w:style>
  <w:style w:type="paragraph" w:styleId="4">
    <w:name w:val="Body Text"/>
    <w:unhideWhenUsed/>
    <w:qFormat/>
    <w:uiPriority w:val="0"/>
    <w:pPr>
      <w:widowControl w:val="0"/>
      <w:suppressAutoHyphens/>
      <w:spacing w:after="120"/>
      <w:jc w:val="both"/>
    </w:pPr>
    <w:rPr>
      <w:rFonts w:ascii="Times New Roman" w:hAnsi="Times New Roman" w:eastAsia="宋体" w:cs="Times New Roman"/>
      <w:kern w:val="2"/>
      <w:sz w:val="21"/>
      <w:szCs w:val="24"/>
      <w:lang w:val="en-US" w:eastAsia="zh-CN" w:bidi="ar-SA"/>
    </w:rPr>
  </w:style>
  <w:style w:type="paragraph" w:styleId="5">
    <w:name w:val="Body Text Indent"/>
    <w:next w:val="6"/>
    <w:qFormat/>
    <w:uiPriority w:val="0"/>
    <w:pPr>
      <w:widowControl w:val="0"/>
      <w:ind w:firstLine="632" w:firstLineChars="200"/>
      <w:jc w:val="both"/>
    </w:pPr>
    <w:rPr>
      <w:rFonts w:ascii="仿宋_GB2312" w:hAnsi="华文楷体" w:eastAsia="仿宋_GB2312" w:cs="黑体"/>
      <w:kern w:val="2"/>
      <w:sz w:val="32"/>
      <w:szCs w:val="22"/>
      <w:lang w:val="en-US" w:eastAsia="zh-CN" w:bidi="ar-SA"/>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qFormat/>
    <w:uiPriority w:val="0"/>
    <w:pPr>
      <w:widowControl w:val="0"/>
      <w:tabs>
        <w:tab w:val="center" w:pos="4153"/>
        <w:tab w:val="right" w:pos="8306"/>
      </w:tabs>
      <w:suppressAutoHyphens/>
      <w:snapToGrid w:val="0"/>
      <w:jc w:val="left"/>
    </w:pPr>
    <w:rPr>
      <w:rFonts w:ascii="Times New Roman" w:hAnsi="Times New Roman" w:eastAsia="宋体" w:cs="Times New Roman"/>
      <w:kern w:val="2"/>
      <w:sz w:val="18"/>
      <w:szCs w:val="18"/>
      <w:lang w:val="en-US" w:eastAsia="zh-CN" w:bidi="ar-SA"/>
    </w:rPr>
  </w:style>
  <w:style w:type="paragraph" w:styleId="8">
    <w:name w:val="Normal (Web)"/>
    <w:qFormat/>
    <w:uiPriority w:val="0"/>
    <w:pPr>
      <w:widowControl w:val="0"/>
      <w:suppressAutoHyphens/>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11">
    <w:name w:val="_Style 1"/>
    <w:qFormat/>
    <w:uiPriority w:val="0"/>
    <w:pPr>
      <w:widowControl w:val="0"/>
      <w:suppressAutoHyphens/>
      <w:spacing w:line="481" w:lineRule="atLeast"/>
      <w:ind w:firstLine="623"/>
      <w:jc w:val="both"/>
      <w:textAlignment w:val="baseline"/>
    </w:pPr>
    <w:rPr>
      <w:rFonts w:ascii="Times New Roman" w:hAnsi="Times New Roman" w:eastAsia="仿宋_GB2312" w:cs="Times New Roman"/>
      <w:color w:val="000000"/>
      <w:kern w:val="2"/>
      <w:sz w:val="31"/>
      <w:szCs w:val="24"/>
      <w:lang w:val="en-US" w:eastAsia="zh-CN" w:bidi="ar-SA"/>
    </w:rPr>
  </w:style>
  <w:style w:type="character" w:customStyle="1" w:styleId="12">
    <w:name w:val="font11"/>
    <w:basedOn w:val="10"/>
    <w:qFormat/>
    <w:uiPriority w:val="0"/>
    <w:rPr>
      <w:rFonts w:hint="eastAsia" w:ascii="黑体" w:hAnsi="宋体" w:eastAsia="黑体" w:cs="黑体"/>
      <w:color w:val="000000"/>
      <w:sz w:val="32"/>
      <w:szCs w:val="32"/>
      <w:u w:val="none"/>
    </w:rPr>
  </w:style>
  <w:style w:type="character" w:customStyle="1" w:styleId="13">
    <w:name w:val="font21"/>
    <w:basedOn w:val="10"/>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6281</Words>
  <Characters>6335</Characters>
  <Lines>1</Lines>
  <Paragraphs>1</Paragraphs>
  <TotalTime>5</TotalTime>
  <ScaleCrop>false</ScaleCrop>
  <LinksUpToDate>false</LinksUpToDate>
  <CharactersWithSpaces>6594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2025-04-24T17:40:00Z</dcterms:created>
  <dc:creator>安静的美男子</dc:creator>
  <cp:lastModifiedBy>落瑛缤纷</cp:lastModifiedBy>
  <cp:lastPrinted>2025-05-20T11:46:00Z</cp:lastPrinted>
  <dcterms:modified xsi:type="dcterms:W3CDTF">2025-05-21T08:31:50Z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3A78BB0BCD0D4D179304AD956841BEB3_13</vt:lpwstr>
  </property>
  <property fmtid="{D5CDD505-2E9C-101B-9397-08002B2CF9AE}" pid="4" name="KSOTemplateDocerSaveRecord">
    <vt:lpwstr>eyJoZGlkIjoiY2QxODQ0Yzk1YmFlY2QyOGViOWM3YTJmYmVlZjVlODEiLCJ1c2VySWQiOiI0Mjg3MzYxNjIifQ==</vt:lpwstr>
  </property>
</Properties>
</file>