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3E6B3">
      <w:pPr>
        <w:pStyle w:val="7"/>
        <w:widowControl/>
        <w:jc w:val="center"/>
        <w:rPr>
          <w:rFonts w:hint="eastAsia" w:ascii="方正小标宋_GBK" w:hAnsi="方正小标宋_GBK" w:eastAsia="方正小标宋_GBK" w:cs="方正小标宋_GBK"/>
          <w:b/>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b/>
          <w:color w:val="000000" w:themeColor="text1"/>
          <w:sz w:val="44"/>
          <w:szCs w:val="44"/>
          <w:lang w:eastAsia="zh-CN"/>
          <w14:textFill>
            <w14:solidFill>
              <w14:schemeClr w14:val="tx1"/>
            </w14:solidFill>
          </w14:textFill>
        </w:rPr>
        <w:t>2023年</w:t>
      </w:r>
      <w:r>
        <w:rPr>
          <w:rFonts w:hint="eastAsia" w:ascii="方正小标宋_GBK" w:hAnsi="方正小标宋_GBK" w:eastAsia="方正小标宋_GBK" w:cs="方正小标宋_GBK"/>
          <w:b/>
          <w:color w:val="000000" w:themeColor="text1"/>
          <w:sz w:val="44"/>
          <w:szCs w:val="44"/>
          <w14:textFill>
            <w14:solidFill>
              <w14:schemeClr w14:val="tx1"/>
            </w14:solidFill>
          </w14:textFill>
        </w:rPr>
        <w:t>中站区国民经济和社会发展</w:t>
      </w:r>
    </w:p>
    <w:p w14:paraId="18D4392B">
      <w:pPr>
        <w:pStyle w:val="7"/>
        <w:widowControl/>
        <w:jc w:val="center"/>
        <w:rPr>
          <w:rFonts w:hint="eastAsia" w:ascii="方正小标宋_GBK" w:hAnsi="方正小标宋_GBK" w:eastAsia="方正小标宋_GBK" w:cs="方正小标宋_GBK"/>
          <w:b/>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color w:val="000000" w:themeColor="text1"/>
          <w:sz w:val="44"/>
          <w:szCs w:val="44"/>
          <w14:textFill>
            <w14:solidFill>
              <w14:schemeClr w14:val="tx1"/>
            </w14:solidFill>
          </w14:textFill>
        </w:rPr>
        <w:t>统计公报</w:t>
      </w:r>
    </w:p>
    <w:p w14:paraId="5B4E77E7">
      <w:pPr>
        <w:pStyle w:val="7"/>
        <w:widowControl/>
        <w:spacing w:line="480" w:lineRule="auto"/>
        <w:jc w:val="center"/>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中站区统计局</w:t>
      </w:r>
    </w:p>
    <w:p w14:paraId="12181F2D">
      <w:pPr>
        <w:pStyle w:val="7"/>
        <w:widowControl/>
        <w:spacing w:line="480" w:lineRule="auto"/>
        <w:jc w:val="center"/>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lang w:eastAsia="zh-CN"/>
          <w14:textFill>
            <w14:solidFill>
              <w14:schemeClr w14:val="tx1"/>
            </w14:solidFill>
          </w14:textFill>
        </w:rPr>
        <w:t>202</w:t>
      </w:r>
      <w:r>
        <w:rPr>
          <w:rFonts w:hint="eastAsia" w:ascii="楷体" w:hAnsi="楷体" w:eastAsia="楷体" w:cs="楷体"/>
          <w:color w:val="000000" w:themeColor="text1"/>
          <w:sz w:val="32"/>
          <w:szCs w:val="32"/>
          <w:lang w:val="en-US" w:eastAsia="zh-CN"/>
          <w14:textFill>
            <w14:solidFill>
              <w14:schemeClr w14:val="tx1"/>
            </w14:solidFill>
          </w14:textFill>
        </w:rPr>
        <w:t>4</w:t>
      </w:r>
      <w:r>
        <w:rPr>
          <w:rFonts w:hint="eastAsia" w:ascii="楷体" w:hAnsi="楷体" w:eastAsia="楷体" w:cs="楷体"/>
          <w:color w:val="000000" w:themeColor="text1"/>
          <w:sz w:val="32"/>
          <w:szCs w:val="32"/>
          <w:lang w:eastAsia="zh-CN"/>
          <w14:textFill>
            <w14:solidFill>
              <w14:schemeClr w14:val="tx1"/>
            </w14:solidFill>
          </w14:textFill>
        </w:rPr>
        <w:t>年</w:t>
      </w:r>
      <w:r>
        <w:rPr>
          <w:rFonts w:hint="eastAsia" w:ascii="楷体" w:hAnsi="楷体" w:eastAsia="楷体" w:cs="楷体"/>
          <w:color w:val="000000" w:themeColor="text1"/>
          <w:sz w:val="32"/>
          <w:szCs w:val="32"/>
          <w:lang w:val="en-US" w:eastAsia="zh-CN"/>
          <w14:textFill>
            <w14:solidFill>
              <w14:schemeClr w14:val="tx1"/>
            </w14:solidFill>
          </w14:textFill>
        </w:rPr>
        <w:t>7</w:t>
      </w:r>
      <w:r>
        <w:rPr>
          <w:rFonts w:hint="eastAsia" w:ascii="楷体" w:hAnsi="楷体" w:eastAsia="楷体" w:cs="楷体"/>
          <w:color w:val="000000" w:themeColor="text1"/>
          <w:sz w:val="32"/>
          <w:szCs w:val="32"/>
          <w:lang w:eastAsia="zh-CN"/>
          <w14:textFill>
            <w14:solidFill>
              <w14:schemeClr w14:val="tx1"/>
            </w14:solidFill>
          </w14:textFill>
        </w:rPr>
        <w:t>月</w:t>
      </w:r>
      <w:r>
        <w:rPr>
          <w:rFonts w:hint="eastAsia" w:ascii="楷体" w:hAnsi="楷体" w:eastAsia="楷体" w:cs="楷体"/>
          <w:color w:val="000000" w:themeColor="text1"/>
          <w:sz w:val="32"/>
          <w:szCs w:val="32"/>
          <w:lang w:val="en-US" w:eastAsia="zh-CN"/>
          <w14:textFill>
            <w14:solidFill>
              <w14:schemeClr w14:val="tx1"/>
            </w14:solidFill>
          </w14:textFill>
        </w:rPr>
        <w:t>30</w:t>
      </w:r>
      <w:r>
        <w:rPr>
          <w:rFonts w:hint="eastAsia" w:ascii="楷体" w:hAnsi="楷体" w:eastAsia="楷体" w:cs="楷体"/>
          <w:color w:val="000000" w:themeColor="text1"/>
          <w:sz w:val="32"/>
          <w:szCs w:val="32"/>
          <w:lang w:eastAsia="zh-CN"/>
          <w14:textFill>
            <w14:solidFill>
              <w14:schemeClr w14:val="tx1"/>
            </w14:solidFill>
          </w14:textFill>
        </w:rPr>
        <w:t>日</w:t>
      </w:r>
    </w:p>
    <w:p w14:paraId="122DA637">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eastAsia="仿宋" w:cs="Times New Roman"/>
          <w:color w:val="FF0000"/>
          <w:sz w:val="32"/>
          <w:szCs w:val="32"/>
          <w:lang w:eastAsia="zh-CN"/>
        </w:rPr>
      </w:pPr>
    </w:p>
    <w:p w14:paraId="47D1EB9F">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eastAsia="仿宋" w:cs="Times New Roman"/>
          <w:color w:val="000000" w:themeColor="text1"/>
          <w:sz w:val="32"/>
          <w:szCs w:val="32"/>
          <w:lang w:eastAsia="zh-CN"/>
          <w14:textFill>
            <w14:solidFill>
              <w14:schemeClr w14:val="tx1"/>
            </w14:solidFill>
          </w14:textFill>
        </w:rPr>
        <w:t> </w:t>
      </w:r>
      <w:r>
        <w:rPr>
          <w:rFonts w:hint="default" w:eastAsia="仿宋" w:cs="Times New Roman"/>
          <w:color w:val="000000" w:themeColor="text1"/>
          <w:sz w:val="32"/>
          <w:szCs w:val="32"/>
          <w:lang w:eastAsia="zh-CN"/>
          <w14:textFill>
            <w14:solidFill>
              <w14:schemeClr w14:val="tx1"/>
            </w14:solidFill>
          </w14:textFill>
        </w:rPr>
        <w:t>20</w:t>
      </w:r>
      <w:r>
        <w:rPr>
          <w:rFonts w:hint="default" w:eastAsia="仿宋" w:cs="Times New Roman"/>
          <w:color w:val="000000" w:themeColor="text1"/>
          <w:sz w:val="32"/>
          <w:szCs w:val="32"/>
          <w:lang w:val="en-US" w:eastAsia="zh-CN"/>
          <w14:textFill>
            <w14:solidFill>
              <w14:schemeClr w14:val="tx1"/>
            </w14:solidFill>
          </w14:textFill>
        </w:rPr>
        <w:t>2</w:t>
      </w:r>
      <w:r>
        <w:rPr>
          <w:rFonts w:hint="eastAsia" w:eastAsia="仿宋" w:cs="Times New Roman"/>
          <w:color w:val="000000" w:themeColor="text1"/>
          <w:sz w:val="32"/>
          <w:szCs w:val="32"/>
          <w:lang w:val="en-US" w:eastAsia="zh-CN"/>
          <w14:textFill>
            <w14:solidFill>
              <w14:schemeClr w14:val="tx1"/>
            </w14:solidFill>
          </w14:textFill>
        </w:rPr>
        <w:t>3</w:t>
      </w:r>
      <w:r>
        <w:rPr>
          <w:rFonts w:hint="default" w:eastAsia="仿宋" w:cs="Times New Roman"/>
          <w:color w:val="000000" w:themeColor="text1"/>
          <w:sz w:val="32"/>
          <w:szCs w:val="32"/>
          <w:lang w:val="en-US" w:eastAsia="zh-CN"/>
          <w14:textFill>
            <w14:solidFill>
              <w14:schemeClr w14:val="tx1"/>
            </w14:solidFill>
          </w14:textFill>
        </w:rPr>
        <w:t>年</w:t>
      </w:r>
      <w:r>
        <w:rPr>
          <w:rFonts w:hint="default" w:eastAsia="仿宋" w:cs="Times New Roman"/>
          <w:color w:val="000000" w:themeColor="text1"/>
          <w:sz w:val="32"/>
          <w:szCs w:val="32"/>
          <w:lang w:eastAsia="zh-CN"/>
          <w14:textFill>
            <w14:solidFill>
              <w14:schemeClr w14:val="tx1"/>
            </w14:solidFill>
          </w14:textFill>
        </w:rPr>
        <w:t>是</w:t>
      </w:r>
      <w:r>
        <w:rPr>
          <w:rFonts w:hint="eastAsia" w:eastAsia="仿宋" w:cs="Times New Roman"/>
          <w:color w:val="000000" w:themeColor="text1"/>
          <w:sz w:val="32"/>
          <w:szCs w:val="32"/>
          <w:lang w:eastAsia="zh-CN"/>
          <w14:textFill>
            <w14:solidFill>
              <w14:schemeClr w14:val="tx1"/>
            </w14:solidFill>
          </w14:textFill>
        </w:rPr>
        <w:t>全面贯彻落实党的二十大精神的开局之年，是三年新冠疫情防控</w:t>
      </w:r>
      <w:r>
        <w:rPr>
          <w:rFonts w:hint="eastAsia" w:eastAsia="仿宋" w:cs="Times New Roman"/>
          <w:color w:val="000000" w:themeColor="text1"/>
          <w:sz w:val="32"/>
          <w:szCs w:val="32"/>
          <w:lang w:val="en-US" w:eastAsia="zh-CN"/>
          <w14:textFill>
            <w14:solidFill>
              <w14:schemeClr w14:val="tx1"/>
            </w14:solidFill>
          </w14:textFill>
        </w:rPr>
        <w:t>平稳</w:t>
      </w:r>
      <w:r>
        <w:rPr>
          <w:rFonts w:hint="eastAsia" w:eastAsia="仿宋" w:cs="Times New Roman"/>
          <w:color w:val="000000" w:themeColor="text1"/>
          <w:sz w:val="32"/>
          <w:szCs w:val="32"/>
          <w:lang w:eastAsia="zh-CN"/>
          <w14:textFill>
            <w14:solidFill>
              <w14:schemeClr w14:val="tx1"/>
            </w14:solidFill>
          </w14:textFill>
        </w:rPr>
        <w:t>转段后经济恢复发展的一年</w:t>
      </w:r>
      <w:r>
        <w:rPr>
          <w:rFonts w:hint="default" w:eastAsia="仿宋" w:cs="Times New Roman"/>
          <w:color w:val="000000" w:themeColor="text1"/>
          <w:sz w:val="32"/>
          <w:szCs w:val="32"/>
          <w:lang w:eastAsia="zh-CN"/>
          <w14:textFill>
            <w14:solidFill>
              <w14:schemeClr w14:val="tx1"/>
            </w14:solidFill>
          </w14:textFill>
        </w:rPr>
        <w:t>。</w:t>
      </w:r>
      <w:r>
        <w:rPr>
          <w:rFonts w:hint="eastAsia" w:eastAsia="仿宋" w:cs="Times New Roman"/>
          <w:color w:val="000000" w:themeColor="text1"/>
          <w:sz w:val="32"/>
          <w:szCs w:val="32"/>
          <w:lang w:eastAsia="zh-CN"/>
          <w14:textFill>
            <w14:solidFill>
              <w14:schemeClr w14:val="tx1"/>
            </w14:solidFill>
          </w14:textFill>
        </w:rPr>
        <w:t>在</w:t>
      </w:r>
      <w:r>
        <w:rPr>
          <w:rFonts w:hint="eastAsia" w:eastAsia="仿宋" w:cs="Times New Roman"/>
          <w:color w:val="000000" w:themeColor="text1"/>
          <w:sz w:val="32"/>
          <w:szCs w:val="32"/>
          <w:lang w:val="en-US" w:eastAsia="zh-CN"/>
          <w14:textFill>
            <w14:solidFill>
              <w14:schemeClr w14:val="tx1"/>
            </w14:solidFill>
          </w14:textFill>
        </w:rPr>
        <w:t>区</w:t>
      </w:r>
      <w:r>
        <w:rPr>
          <w:rFonts w:hint="eastAsia" w:eastAsia="仿宋" w:cs="Times New Roman"/>
          <w:color w:val="000000" w:themeColor="text1"/>
          <w:sz w:val="32"/>
          <w:szCs w:val="32"/>
          <w:lang w:eastAsia="zh-CN"/>
          <w14:textFill>
            <w14:solidFill>
              <w14:schemeClr w14:val="tx1"/>
            </w14:solidFill>
          </w14:textFill>
        </w:rPr>
        <w:t>委、</w:t>
      </w:r>
      <w:r>
        <w:rPr>
          <w:rFonts w:hint="eastAsia" w:eastAsia="仿宋" w:cs="Times New Roman"/>
          <w:color w:val="000000" w:themeColor="text1"/>
          <w:sz w:val="32"/>
          <w:szCs w:val="32"/>
          <w:lang w:val="en-US" w:eastAsia="zh-CN"/>
          <w14:textFill>
            <w14:solidFill>
              <w14:schemeClr w14:val="tx1"/>
            </w14:solidFill>
          </w14:textFill>
        </w:rPr>
        <w:t>区</w:t>
      </w:r>
      <w:r>
        <w:rPr>
          <w:rFonts w:hint="eastAsia" w:eastAsia="仿宋" w:cs="Times New Roman"/>
          <w:color w:val="000000" w:themeColor="text1"/>
          <w:sz w:val="32"/>
          <w:szCs w:val="32"/>
          <w:lang w:eastAsia="zh-CN"/>
          <w14:textFill>
            <w14:solidFill>
              <w14:schemeClr w14:val="tx1"/>
            </w14:solidFill>
          </w14:textFill>
        </w:rPr>
        <w:t>政府的坚强领导下，全</w:t>
      </w:r>
      <w:r>
        <w:rPr>
          <w:rFonts w:hint="eastAsia" w:eastAsia="仿宋" w:cs="Times New Roman"/>
          <w:color w:val="000000" w:themeColor="text1"/>
          <w:sz w:val="32"/>
          <w:szCs w:val="32"/>
          <w:lang w:val="en-US" w:eastAsia="zh-CN"/>
          <w14:textFill>
            <w14:solidFill>
              <w14:schemeClr w14:val="tx1"/>
            </w14:solidFill>
          </w14:textFill>
        </w:rPr>
        <w:t>区</w:t>
      </w:r>
      <w:r>
        <w:rPr>
          <w:rFonts w:hint="eastAsia" w:eastAsia="仿宋" w:cs="Times New Roman"/>
          <w:color w:val="000000" w:themeColor="text1"/>
          <w:sz w:val="32"/>
          <w:szCs w:val="32"/>
          <w:lang w:eastAsia="zh-CN"/>
          <w14:textFill>
            <w14:solidFill>
              <w14:schemeClr w14:val="tx1"/>
            </w14:solidFill>
          </w14:textFill>
        </w:rPr>
        <w:t>各级各部门深入贯彻落实中央、省、市决策部署，聚焦高质量发展首要任务，有效应对</w:t>
      </w:r>
      <w:r>
        <w:rPr>
          <w:rFonts w:hint="default" w:eastAsia="仿宋" w:cs="Times New Roman"/>
          <w:color w:val="000000" w:themeColor="text1"/>
          <w:sz w:val="32"/>
          <w:szCs w:val="32"/>
          <w:lang w:val="en-US" w:eastAsia="zh-CN"/>
          <w14:textFill>
            <w14:solidFill>
              <w14:schemeClr w14:val="tx1"/>
            </w14:solidFill>
          </w14:textFill>
        </w:rPr>
        <w:t>多重困难，</w:t>
      </w:r>
      <w:r>
        <w:rPr>
          <w:rFonts w:hint="eastAsia" w:eastAsia="仿宋" w:cs="Times New Roman"/>
          <w:color w:val="000000" w:themeColor="text1"/>
          <w:sz w:val="32"/>
          <w:szCs w:val="32"/>
          <w:lang w:val="en-US" w:eastAsia="zh-CN"/>
          <w14:textFill>
            <w14:solidFill>
              <w14:schemeClr w14:val="tx1"/>
            </w14:solidFill>
          </w14:textFill>
        </w:rPr>
        <w:t>团结一心、砥砺前行，</w:t>
      </w:r>
      <w:r>
        <w:rPr>
          <w:rFonts w:hint="eastAsia" w:eastAsia="仿宋" w:cs="Times New Roman"/>
          <w:color w:val="000000" w:themeColor="text1"/>
          <w:sz w:val="32"/>
          <w:szCs w:val="32"/>
          <w:lang w:eastAsia="zh-CN"/>
          <w14:textFill>
            <w14:solidFill>
              <w14:schemeClr w14:val="tx1"/>
            </w14:solidFill>
          </w14:textFill>
        </w:rPr>
        <w:t>实现了经济运行稳中向好、稳中提质，高质量发展扎实推进，工业优势更加凸显，</w:t>
      </w:r>
      <w:r>
        <w:rPr>
          <w:rFonts w:hint="eastAsia" w:eastAsia="仿宋" w:cs="Times New Roman"/>
          <w:color w:val="000000" w:themeColor="text1"/>
          <w:sz w:val="32"/>
          <w:szCs w:val="32"/>
          <w:lang w:val="en-US" w:eastAsia="zh-CN"/>
          <w14:textFill>
            <w14:solidFill>
              <w14:schemeClr w14:val="tx1"/>
            </w14:solidFill>
          </w14:textFill>
        </w:rPr>
        <w:t>城乡协调进展加快</w:t>
      </w:r>
      <w:r>
        <w:rPr>
          <w:rFonts w:hint="default" w:eastAsia="仿宋" w:cs="Times New Roman"/>
          <w:color w:val="000000" w:themeColor="text1"/>
          <w:sz w:val="32"/>
          <w:szCs w:val="32"/>
          <w:lang w:val="en-US" w:eastAsia="zh-CN"/>
          <w14:textFill>
            <w14:solidFill>
              <w14:schemeClr w14:val="tx1"/>
            </w14:solidFill>
          </w14:textFill>
        </w:rPr>
        <w:t>，民生保障有力有效，</w:t>
      </w:r>
      <w:r>
        <w:rPr>
          <w:rFonts w:hint="eastAsia" w:eastAsia="仿宋" w:cs="Times New Roman"/>
          <w:color w:val="000000" w:themeColor="text1"/>
          <w:sz w:val="32"/>
          <w:szCs w:val="32"/>
          <w:lang w:val="en-US" w:eastAsia="zh-CN"/>
          <w14:textFill>
            <w14:solidFill>
              <w14:schemeClr w14:val="tx1"/>
            </w14:solidFill>
          </w14:textFill>
        </w:rPr>
        <w:t>社会大局和谐稳定，</w:t>
      </w:r>
      <w:r>
        <w:rPr>
          <w:rFonts w:hint="eastAsia" w:eastAsia="仿宋" w:cs="Times New Roman"/>
          <w:color w:val="000000" w:themeColor="text1"/>
          <w:sz w:val="32"/>
          <w:szCs w:val="32"/>
          <w:lang w:eastAsia="zh-CN"/>
          <w14:textFill>
            <w14:solidFill>
              <w14:schemeClr w14:val="tx1"/>
            </w14:solidFill>
          </w14:textFill>
        </w:rPr>
        <w:t>中国式现代化建设中站实践迈出坚实步伐。</w:t>
      </w:r>
    </w:p>
    <w:p w14:paraId="02B1C600">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一、综合</w:t>
      </w:r>
    </w:p>
    <w:p w14:paraId="36CF28A9">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初步核算，全年全区地区生产总值</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149.8</w:t>
      </w:r>
      <w:r>
        <w:rPr>
          <w:rFonts w:hint="eastAsia" w:ascii="仿宋" w:hAnsi="仿宋" w:eastAsia="仿宋" w:cs="仿宋"/>
          <w:color w:val="000000" w:themeColor="text1"/>
          <w:sz w:val="32"/>
          <w:szCs w:val="32"/>
          <w14:textFill>
            <w14:solidFill>
              <w14:schemeClr w14:val="tx1"/>
            </w14:solidFill>
          </w14:textFill>
        </w:rPr>
        <w:t>亿元，比上年增长</w:t>
      </w:r>
      <w:r>
        <w:rPr>
          <w:rFonts w:hint="eastAsia" w:ascii="仿宋" w:hAnsi="仿宋" w:eastAsia="仿宋" w:cs="仿宋"/>
          <w:color w:val="000000" w:themeColor="text1"/>
          <w:sz w:val="32"/>
          <w:szCs w:val="32"/>
          <w:lang w:val="en-US" w:eastAsia="zh-CN"/>
          <w14:textFill>
            <w14:solidFill>
              <w14:schemeClr w14:val="tx1"/>
            </w14:solidFill>
          </w14:textFill>
        </w:rPr>
        <w:t>4.3</w:t>
      </w:r>
      <w:r>
        <w:rPr>
          <w:rFonts w:hint="eastAsia" w:ascii="仿宋" w:hAnsi="仿宋" w:eastAsia="仿宋" w:cs="仿宋"/>
          <w:color w:val="000000" w:themeColor="text1"/>
          <w:sz w:val="32"/>
          <w:szCs w:val="32"/>
          <w14:textFill>
            <w14:solidFill>
              <w14:schemeClr w14:val="tx1"/>
            </w14:solidFill>
          </w14:textFill>
        </w:rPr>
        <w:t>%。其中：第一产业增加值</w:t>
      </w:r>
      <w:r>
        <w:rPr>
          <w:rFonts w:hint="eastAsia" w:ascii="仿宋" w:hAnsi="仿宋" w:eastAsia="仿宋" w:cs="仿宋"/>
          <w:color w:val="000000" w:themeColor="text1"/>
          <w:sz w:val="32"/>
          <w:szCs w:val="32"/>
          <w:lang w:val="en-US" w:eastAsia="zh-CN"/>
          <w14:textFill>
            <w14:solidFill>
              <w14:schemeClr w14:val="tx1"/>
            </w14:solidFill>
          </w14:textFill>
        </w:rPr>
        <w:t>0.6</w:t>
      </w:r>
      <w:r>
        <w:rPr>
          <w:rFonts w:hint="eastAsia" w:ascii="仿宋" w:hAnsi="仿宋" w:eastAsia="仿宋" w:cs="仿宋"/>
          <w:color w:val="000000" w:themeColor="text1"/>
          <w:sz w:val="32"/>
          <w:szCs w:val="32"/>
          <w14:textFill>
            <w14:solidFill>
              <w14:schemeClr w14:val="tx1"/>
            </w14:solidFill>
          </w14:textFill>
        </w:rPr>
        <w:t>亿元，增长</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%；第二产业</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增加值</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109</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亿元，增长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5.2</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%；第三产业增加值</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40.2</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亿元，增长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1.7</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lang w:eastAsia="zh-CN"/>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三次产业结构为0.4:72.8:26.8。</w:t>
      </w:r>
      <w:r>
        <w:rPr>
          <w:rFonts w:hint="eastAsia" w:ascii="仿宋_GB2312" w:hAnsi="宋体" w:eastAsia="仿宋_GB2312"/>
          <w:bCs/>
          <w:color w:val="000000" w:themeColor="text1"/>
          <w:kern w:val="0"/>
          <w:sz w:val="32"/>
          <w:szCs w:val="32"/>
          <w:shd w:val="clear" w:color="auto" w:fill="FFFFFF"/>
          <w:lang w:eastAsia="zh-CN"/>
          <w14:textFill>
            <w14:solidFill>
              <w14:schemeClr w14:val="tx1"/>
            </w14:solidFill>
          </w14:textFill>
        </w:rPr>
        <w:t>按常住人口计算，全年</w:t>
      </w:r>
      <w:r>
        <w:rPr>
          <w:rFonts w:hint="eastAsia" w:ascii="仿宋" w:hAnsi="仿宋" w:eastAsia="仿宋" w:cs="仿宋"/>
          <w:color w:val="000000" w:themeColor="text1"/>
          <w:sz w:val="32"/>
          <w:szCs w:val="32"/>
          <w14:textFill>
            <w14:solidFill>
              <w14:schemeClr w14:val="tx1"/>
            </w14:solidFill>
          </w14:textFill>
        </w:rPr>
        <w:t>人均地区生产总值</w:t>
      </w:r>
      <w:r>
        <w:rPr>
          <w:rFonts w:hint="eastAsia" w:ascii="仿宋" w:hAnsi="仿宋" w:eastAsia="仿宋" w:cs="仿宋"/>
          <w:color w:val="000000" w:themeColor="text1"/>
          <w:sz w:val="32"/>
          <w:szCs w:val="32"/>
          <w:lang w:val="en-US" w:eastAsia="zh-CN"/>
          <w14:textFill>
            <w14:solidFill>
              <w14:schemeClr w14:val="tx1"/>
            </w14:solidFill>
          </w14:textFill>
        </w:rPr>
        <w:t>139741</w:t>
      </w:r>
      <w:r>
        <w:rPr>
          <w:rFonts w:hint="eastAsia" w:ascii="仿宋" w:hAnsi="仿宋" w:eastAsia="仿宋" w:cs="仿宋"/>
          <w:color w:val="000000" w:themeColor="text1"/>
          <w:sz w:val="32"/>
          <w:szCs w:val="32"/>
          <w14:textFill>
            <w14:solidFill>
              <w14:schemeClr w14:val="tx1"/>
            </w14:solidFill>
          </w14:textFill>
        </w:rPr>
        <w:t>元</w:t>
      </w:r>
      <w:r>
        <w:rPr>
          <w:rFonts w:hint="eastAsia" w:ascii="仿宋" w:hAnsi="仿宋" w:eastAsia="仿宋" w:cs="仿宋"/>
          <w:color w:val="000000" w:themeColor="text1"/>
          <w:sz w:val="32"/>
          <w:szCs w:val="32"/>
          <w:lang w:eastAsia="zh-CN"/>
          <w14:textFill>
            <w14:solidFill>
              <w14:schemeClr w14:val="tx1"/>
            </w14:solidFill>
          </w14:textFill>
        </w:rPr>
        <w:t>，增长</w:t>
      </w:r>
      <w:r>
        <w:rPr>
          <w:rFonts w:hint="eastAsia" w:ascii="仿宋" w:hAnsi="仿宋" w:eastAsia="仿宋" w:cs="仿宋"/>
          <w:color w:val="000000" w:themeColor="text1"/>
          <w:sz w:val="32"/>
          <w:szCs w:val="32"/>
          <w:lang w:val="en-US" w:eastAsia="zh-CN"/>
          <w14:textFill>
            <w14:solidFill>
              <w14:schemeClr w14:val="tx1"/>
            </w14:solidFill>
          </w14:textFill>
        </w:rPr>
        <w:t>4.5%</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p>
    <w:p w14:paraId="6A720ABB">
      <w:pPr>
        <w:pStyle w:val="3"/>
        <w:ind w:left="0" w:leftChars="0" w:firstLine="0" w:firstLineChars="0"/>
        <w:jc w:val="both"/>
        <w:rPr>
          <w:color w:val="FF0000"/>
        </w:rPr>
      </w:pPr>
    </w:p>
    <w:p w14:paraId="3950DEBE">
      <w:pPr>
        <w:pStyle w:val="3"/>
        <w:ind w:left="0" w:leftChars="0" w:firstLine="0" w:firstLineChars="0"/>
        <w:jc w:val="both"/>
        <w:rPr>
          <w:rFonts w:hint="eastAsia"/>
          <w:color w:val="FF0000"/>
        </w:rPr>
      </w:pPr>
    </w:p>
    <w:p w14:paraId="70C7A5B5">
      <w:pPr>
        <w:pStyle w:val="3"/>
        <w:ind w:left="0" w:leftChars="0" w:firstLine="0" w:firstLineChars="0"/>
        <w:rPr>
          <w:rFonts w:hint="eastAsia" w:ascii="仿宋_GB2312" w:hAnsi="宋体" w:eastAsia="仿宋_GB2312" w:cstheme="minorBidi"/>
          <w:bCs/>
          <w:color w:val="FF0000"/>
          <w:kern w:val="0"/>
          <w:sz w:val="32"/>
          <w:szCs w:val="32"/>
          <w:shd w:val="clear" w:color="auto" w:fill="FFFFFF"/>
          <w:lang w:val="en-US" w:eastAsia="zh-CN" w:bidi="ar-SA"/>
        </w:rPr>
      </w:pPr>
      <w:r>
        <w:drawing>
          <wp:inline distT="0" distB="0" distL="114300" distR="114300">
            <wp:extent cx="5271770" cy="2341880"/>
            <wp:effectExtent l="4445" t="4445" r="19685" b="1587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35ADDBE">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cstheme="minorBidi"/>
          <w:bCs/>
          <w:color w:val="FF0000"/>
          <w:kern w:val="0"/>
          <w:sz w:val="32"/>
          <w:szCs w:val="32"/>
          <w:shd w:val="clear" w:color="auto" w:fill="FFFFFF"/>
          <w:lang w:val="en-US" w:eastAsia="zh-CN" w:bidi="ar-SA"/>
        </w:rPr>
      </w:pPr>
      <w:r>
        <w:rPr>
          <w:rFonts w:hint="eastAsia"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t>年末全区常住人口107000人，其中城镇常住人口85247人，乡村常住人口21753人；常住人口城镇化率为79.67%，比上年末提高0.63个百分点。全年出生人口641人，人口出生率为5.98‰；死亡人口902人，人口死亡率为8.42‰；人口自然增长率为-2.44‰。</w:t>
      </w:r>
    </w:p>
    <w:p w14:paraId="1C7FD802">
      <w:pPr>
        <w:keepNext w:val="0"/>
        <w:keepLines w:val="0"/>
        <w:pageBreakBefore w:val="0"/>
        <w:kinsoku/>
        <w:wordWrap/>
        <w:overflowPunct/>
        <w:topLinePunct w:val="0"/>
        <w:autoSpaceDE/>
        <w:autoSpaceDN/>
        <w:bidi w:val="0"/>
        <w:adjustRightInd/>
        <w:snapToGrid/>
        <w:spacing w:line="560" w:lineRule="exact"/>
        <w:ind w:firstLine="422" w:firstLineChars="150"/>
        <w:jc w:val="center"/>
        <w:rPr>
          <w:rFonts w:hint="default"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pPr>
      <w:r>
        <w:rPr>
          <w:rFonts w:hint="eastAsia"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t>表1  2023年年末中站区常住人口数及其构成</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4"/>
        <w:gridCol w:w="1991"/>
        <w:gridCol w:w="2097"/>
      </w:tblGrid>
      <w:tr w14:paraId="648A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tcPr>
          <w:p w14:paraId="42EC75DF">
            <w:pPr>
              <w:pStyle w:val="7"/>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指标</w:t>
            </w:r>
          </w:p>
        </w:tc>
        <w:tc>
          <w:tcPr>
            <w:tcW w:w="1991" w:type="dxa"/>
            <w:tcBorders>
              <w:top w:val="single" w:color="auto" w:sz="4" w:space="0"/>
              <w:left w:val="single" w:color="auto" w:sz="4" w:space="0"/>
              <w:bottom w:val="single" w:color="auto" w:sz="4" w:space="0"/>
              <w:right w:val="single" w:color="auto" w:sz="4" w:space="0"/>
            </w:tcBorders>
          </w:tcPr>
          <w:p w14:paraId="51A7BE78">
            <w:pPr>
              <w:pStyle w:val="7"/>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年末数（人）</w:t>
            </w:r>
          </w:p>
        </w:tc>
        <w:tc>
          <w:tcPr>
            <w:tcW w:w="2097" w:type="dxa"/>
            <w:tcBorders>
              <w:top w:val="single" w:color="auto" w:sz="4" w:space="0"/>
              <w:left w:val="single" w:color="auto" w:sz="4" w:space="0"/>
              <w:bottom w:val="single" w:color="auto" w:sz="4" w:space="0"/>
              <w:right w:val="nil"/>
            </w:tcBorders>
          </w:tcPr>
          <w:p w14:paraId="55063444">
            <w:pPr>
              <w:pStyle w:val="7"/>
              <w:keepNext w:val="0"/>
              <w:keepLines w:val="0"/>
              <w:pageBreakBefore w:val="0"/>
              <w:widowControl/>
              <w:kinsoku/>
              <w:wordWrap/>
              <w:overflowPunct/>
              <w:topLinePunct w:val="0"/>
              <w:autoSpaceDE/>
              <w:autoSpaceDN/>
              <w:bidi w:val="0"/>
              <w:adjustRightInd/>
              <w:snapToGrid/>
              <w:spacing w:line="560" w:lineRule="exact"/>
              <w:jc w:val="center"/>
              <w:rPr>
                <w:rFonts w:hint="default"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8"/>
                <w:szCs w:val="28"/>
                <w:shd w:val="clear" w:color="auto" w:fill="FFFFFF"/>
                <w:vertAlign w:val="baseline"/>
                <w:lang w:val="en-US" w:eastAsia="zh-CN" w:bidi="ar-SA"/>
                <w14:textFill>
                  <w14:solidFill>
                    <w14:schemeClr w14:val="tx1"/>
                  </w14:solidFill>
                </w14:textFill>
              </w:rPr>
              <w:t>比重（%）</w:t>
            </w:r>
          </w:p>
        </w:tc>
      </w:tr>
      <w:tr w14:paraId="5C95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tcPr>
          <w:p w14:paraId="2EE214A8">
            <w:pPr>
              <w:pStyle w:val="7"/>
              <w:keepNext w:val="0"/>
              <w:keepLines w:val="0"/>
              <w:pageBreakBefore w:val="0"/>
              <w:widowControl/>
              <w:kinsoku/>
              <w:wordWrap/>
              <w:overflowPunct/>
              <w:topLinePunct w:val="0"/>
              <w:autoSpaceDE/>
              <w:autoSpaceDN/>
              <w:bidi w:val="0"/>
              <w:adjustRightInd/>
              <w:snapToGrid/>
              <w:spacing w:line="560" w:lineRule="exact"/>
              <w:jc w:val="left"/>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全区常住人口</w:t>
            </w:r>
          </w:p>
        </w:tc>
        <w:tc>
          <w:tcPr>
            <w:tcW w:w="1991" w:type="dxa"/>
            <w:tcBorders>
              <w:top w:val="single" w:color="auto" w:sz="4" w:space="0"/>
              <w:left w:val="single" w:color="auto" w:sz="4" w:space="0"/>
              <w:bottom w:val="single" w:color="auto" w:sz="4" w:space="0"/>
              <w:right w:val="single" w:color="auto" w:sz="4" w:space="0"/>
            </w:tcBorders>
          </w:tcPr>
          <w:p w14:paraId="3A3F6131">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lang w:val="en-US" w:eastAsia="zh-CN" w:bidi="ar-SA"/>
                <w14:textFill>
                  <w14:solidFill>
                    <w14:schemeClr w14:val="tx1"/>
                  </w14:solidFill>
                </w14:textFill>
              </w:rPr>
              <w:t>107000</w:t>
            </w:r>
          </w:p>
        </w:tc>
        <w:tc>
          <w:tcPr>
            <w:tcW w:w="2097" w:type="dxa"/>
            <w:tcBorders>
              <w:top w:val="single" w:color="auto" w:sz="4" w:space="0"/>
              <w:left w:val="single" w:color="auto" w:sz="4" w:space="0"/>
              <w:bottom w:val="single" w:color="auto" w:sz="4" w:space="0"/>
              <w:right w:val="nil"/>
            </w:tcBorders>
          </w:tcPr>
          <w:p w14:paraId="7471BB7F">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100.0</w:t>
            </w:r>
          </w:p>
        </w:tc>
      </w:tr>
      <w:tr w14:paraId="075E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tcPr>
          <w:p w14:paraId="651BDACD">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left"/>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其中：城镇</w:t>
            </w:r>
          </w:p>
        </w:tc>
        <w:tc>
          <w:tcPr>
            <w:tcW w:w="1991" w:type="dxa"/>
            <w:tcBorders>
              <w:top w:val="single" w:color="auto" w:sz="4" w:space="0"/>
              <w:left w:val="single" w:color="auto" w:sz="4" w:space="0"/>
              <w:bottom w:val="single" w:color="auto" w:sz="4" w:space="0"/>
              <w:right w:val="single" w:color="auto" w:sz="4" w:space="0"/>
            </w:tcBorders>
          </w:tcPr>
          <w:p w14:paraId="14F8F6BD">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85247</w:t>
            </w:r>
          </w:p>
        </w:tc>
        <w:tc>
          <w:tcPr>
            <w:tcW w:w="2097" w:type="dxa"/>
            <w:tcBorders>
              <w:top w:val="single" w:color="auto" w:sz="4" w:space="0"/>
              <w:left w:val="single" w:color="auto" w:sz="4" w:space="0"/>
              <w:bottom w:val="single" w:color="auto" w:sz="4" w:space="0"/>
              <w:right w:val="nil"/>
            </w:tcBorders>
          </w:tcPr>
          <w:p w14:paraId="0BDF5249">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79.67</w:t>
            </w:r>
          </w:p>
        </w:tc>
      </w:tr>
      <w:tr w14:paraId="58B9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tcPr>
          <w:p w14:paraId="78FA9921">
            <w:pPr>
              <w:pStyle w:val="7"/>
              <w:keepNext w:val="0"/>
              <w:keepLines w:val="0"/>
              <w:pageBreakBefore w:val="0"/>
              <w:widowControl/>
              <w:kinsoku/>
              <w:wordWrap/>
              <w:overflowPunct/>
              <w:topLinePunct w:val="0"/>
              <w:autoSpaceDE/>
              <w:autoSpaceDN/>
              <w:bidi w:val="0"/>
              <w:adjustRightInd/>
              <w:snapToGrid/>
              <w:spacing w:line="560" w:lineRule="exact"/>
              <w:ind w:firstLine="1200" w:firstLineChars="500"/>
              <w:jc w:val="lef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乡村</w:t>
            </w:r>
          </w:p>
        </w:tc>
        <w:tc>
          <w:tcPr>
            <w:tcW w:w="1991" w:type="dxa"/>
            <w:tcBorders>
              <w:top w:val="single" w:color="auto" w:sz="4" w:space="0"/>
              <w:left w:val="single" w:color="auto" w:sz="4" w:space="0"/>
              <w:bottom w:val="single" w:color="auto" w:sz="4" w:space="0"/>
              <w:right w:val="single" w:color="auto" w:sz="4" w:space="0"/>
            </w:tcBorders>
          </w:tcPr>
          <w:p w14:paraId="642BC1E4">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21753</w:t>
            </w:r>
          </w:p>
        </w:tc>
        <w:tc>
          <w:tcPr>
            <w:tcW w:w="2097" w:type="dxa"/>
            <w:tcBorders>
              <w:top w:val="single" w:color="auto" w:sz="4" w:space="0"/>
              <w:left w:val="single" w:color="auto" w:sz="4" w:space="0"/>
              <w:bottom w:val="single" w:color="auto" w:sz="4" w:space="0"/>
              <w:right w:val="nil"/>
            </w:tcBorders>
          </w:tcPr>
          <w:p w14:paraId="77059E50">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20.33</w:t>
            </w:r>
          </w:p>
        </w:tc>
      </w:tr>
      <w:tr w14:paraId="4B6A7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shd w:val="clear" w:color="auto" w:fill="auto"/>
            <w:vAlign w:val="top"/>
          </w:tcPr>
          <w:p w14:paraId="131BCE60">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lef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其中：男性</w:t>
            </w:r>
          </w:p>
        </w:tc>
        <w:tc>
          <w:tcPr>
            <w:tcW w:w="1991" w:type="dxa"/>
            <w:tcBorders>
              <w:top w:val="single" w:color="auto" w:sz="4" w:space="0"/>
              <w:left w:val="single" w:color="auto" w:sz="4" w:space="0"/>
              <w:bottom w:val="single" w:color="auto" w:sz="4" w:space="0"/>
              <w:right w:val="single" w:color="auto" w:sz="4" w:space="0"/>
            </w:tcBorders>
          </w:tcPr>
          <w:p w14:paraId="392C6F35">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54254</w:t>
            </w:r>
          </w:p>
        </w:tc>
        <w:tc>
          <w:tcPr>
            <w:tcW w:w="2097" w:type="dxa"/>
            <w:tcBorders>
              <w:top w:val="single" w:color="auto" w:sz="4" w:space="0"/>
              <w:left w:val="single" w:color="auto" w:sz="4" w:space="0"/>
              <w:bottom w:val="single" w:color="auto" w:sz="4" w:space="0"/>
              <w:right w:val="nil"/>
            </w:tcBorders>
          </w:tcPr>
          <w:p w14:paraId="3F935CA7">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50.7</w:t>
            </w:r>
          </w:p>
        </w:tc>
      </w:tr>
      <w:tr w14:paraId="54DA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shd w:val="clear" w:color="auto" w:fill="auto"/>
            <w:vAlign w:val="top"/>
          </w:tcPr>
          <w:p w14:paraId="705FD6E0">
            <w:pPr>
              <w:pStyle w:val="7"/>
              <w:keepNext w:val="0"/>
              <w:keepLines w:val="0"/>
              <w:pageBreakBefore w:val="0"/>
              <w:widowControl/>
              <w:kinsoku/>
              <w:wordWrap/>
              <w:overflowPunct/>
              <w:topLinePunct w:val="0"/>
              <w:autoSpaceDE/>
              <w:autoSpaceDN/>
              <w:bidi w:val="0"/>
              <w:adjustRightInd/>
              <w:snapToGrid/>
              <w:spacing w:line="560" w:lineRule="exact"/>
              <w:ind w:firstLine="1200" w:firstLineChars="500"/>
              <w:jc w:val="left"/>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女性</w:t>
            </w:r>
          </w:p>
        </w:tc>
        <w:tc>
          <w:tcPr>
            <w:tcW w:w="1991" w:type="dxa"/>
            <w:tcBorders>
              <w:top w:val="single" w:color="auto" w:sz="4" w:space="0"/>
              <w:left w:val="single" w:color="auto" w:sz="4" w:space="0"/>
              <w:bottom w:val="single" w:color="auto" w:sz="4" w:space="0"/>
              <w:right w:val="single" w:color="auto" w:sz="4" w:space="0"/>
            </w:tcBorders>
          </w:tcPr>
          <w:p w14:paraId="2537CFD0">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52746</w:t>
            </w:r>
          </w:p>
        </w:tc>
        <w:tc>
          <w:tcPr>
            <w:tcW w:w="2097" w:type="dxa"/>
            <w:tcBorders>
              <w:top w:val="single" w:color="auto" w:sz="4" w:space="0"/>
              <w:left w:val="single" w:color="auto" w:sz="4" w:space="0"/>
              <w:bottom w:val="single" w:color="auto" w:sz="4" w:space="0"/>
              <w:right w:val="nil"/>
            </w:tcBorders>
          </w:tcPr>
          <w:p w14:paraId="13F2A2BF">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49.3</w:t>
            </w:r>
          </w:p>
        </w:tc>
      </w:tr>
      <w:tr w14:paraId="104D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shd w:val="clear" w:color="auto" w:fill="auto"/>
            <w:vAlign w:val="top"/>
          </w:tcPr>
          <w:p w14:paraId="1D582B2E">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lef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其中：0-15岁（含不满16周岁）</w:t>
            </w:r>
          </w:p>
        </w:tc>
        <w:tc>
          <w:tcPr>
            <w:tcW w:w="1991" w:type="dxa"/>
            <w:tcBorders>
              <w:top w:val="single" w:color="auto" w:sz="4" w:space="0"/>
              <w:left w:val="single" w:color="auto" w:sz="4" w:space="0"/>
              <w:bottom w:val="single" w:color="auto" w:sz="4" w:space="0"/>
              <w:right w:val="single" w:color="auto" w:sz="4" w:space="0"/>
            </w:tcBorders>
          </w:tcPr>
          <w:p w14:paraId="1FC0B7A0">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18055</w:t>
            </w:r>
          </w:p>
        </w:tc>
        <w:tc>
          <w:tcPr>
            <w:tcW w:w="2097" w:type="dxa"/>
            <w:tcBorders>
              <w:top w:val="single" w:color="auto" w:sz="4" w:space="0"/>
              <w:left w:val="single" w:color="auto" w:sz="4" w:space="0"/>
              <w:bottom w:val="single" w:color="auto" w:sz="4" w:space="0"/>
              <w:right w:val="nil"/>
            </w:tcBorders>
          </w:tcPr>
          <w:p w14:paraId="552EAA1D">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16.9</w:t>
            </w:r>
          </w:p>
        </w:tc>
      </w:tr>
      <w:tr w14:paraId="6CFB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shd w:val="clear" w:color="auto" w:fill="auto"/>
            <w:vAlign w:val="top"/>
          </w:tcPr>
          <w:p w14:paraId="7A3537F2">
            <w:pPr>
              <w:pStyle w:val="7"/>
              <w:keepNext w:val="0"/>
              <w:keepLines w:val="0"/>
              <w:pageBreakBefore w:val="0"/>
              <w:widowControl/>
              <w:kinsoku/>
              <w:wordWrap/>
              <w:overflowPunct/>
              <w:topLinePunct w:val="0"/>
              <w:autoSpaceDE/>
              <w:autoSpaceDN/>
              <w:bidi w:val="0"/>
              <w:adjustRightInd/>
              <w:snapToGrid/>
              <w:spacing w:line="560" w:lineRule="exact"/>
              <w:ind w:firstLine="1200" w:firstLineChars="500"/>
              <w:jc w:val="lef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16-59岁（含不满60周岁）</w:t>
            </w:r>
          </w:p>
        </w:tc>
        <w:tc>
          <w:tcPr>
            <w:tcW w:w="1991" w:type="dxa"/>
            <w:tcBorders>
              <w:top w:val="single" w:color="auto" w:sz="4" w:space="0"/>
              <w:left w:val="single" w:color="auto" w:sz="4" w:space="0"/>
              <w:bottom w:val="single" w:color="auto" w:sz="4" w:space="0"/>
              <w:right w:val="single" w:color="auto" w:sz="4" w:space="0"/>
            </w:tcBorders>
          </w:tcPr>
          <w:p w14:paraId="7B54F2C9">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65116</w:t>
            </w:r>
          </w:p>
        </w:tc>
        <w:tc>
          <w:tcPr>
            <w:tcW w:w="2097" w:type="dxa"/>
            <w:tcBorders>
              <w:top w:val="single" w:color="auto" w:sz="4" w:space="0"/>
              <w:left w:val="single" w:color="auto" w:sz="4" w:space="0"/>
              <w:bottom w:val="single" w:color="auto" w:sz="4" w:space="0"/>
              <w:right w:val="nil"/>
            </w:tcBorders>
          </w:tcPr>
          <w:p w14:paraId="606681E5">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60.8</w:t>
            </w:r>
          </w:p>
        </w:tc>
      </w:tr>
      <w:tr w14:paraId="2473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tcPr>
          <w:p w14:paraId="4E1C012F">
            <w:pPr>
              <w:pStyle w:val="7"/>
              <w:keepNext w:val="0"/>
              <w:keepLines w:val="0"/>
              <w:pageBreakBefore w:val="0"/>
              <w:widowControl/>
              <w:kinsoku/>
              <w:wordWrap/>
              <w:overflowPunct/>
              <w:topLinePunct w:val="0"/>
              <w:autoSpaceDE/>
              <w:autoSpaceDN/>
              <w:bidi w:val="0"/>
              <w:adjustRightInd/>
              <w:snapToGrid/>
              <w:spacing w:line="560" w:lineRule="exact"/>
              <w:ind w:firstLine="720" w:firstLineChars="300"/>
              <w:jc w:val="lef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 xml:space="preserve">     60周岁及以上</w:t>
            </w:r>
          </w:p>
        </w:tc>
        <w:tc>
          <w:tcPr>
            <w:tcW w:w="1991" w:type="dxa"/>
            <w:tcBorders>
              <w:top w:val="single" w:color="auto" w:sz="4" w:space="0"/>
              <w:left w:val="single" w:color="auto" w:sz="4" w:space="0"/>
              <w:bottom w:val="single" w:color="auto" w:sz="4" w:space="0"/>
              <w:right w:val="single" w:color="auto" w:sz="4" w:space="0"/>
            </w:tcBorders>
          </w:tcPr>
          <w:p w14:paraId="5F4FEEFC">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23829</w:t>
            </w:r>
          </w:p>
        </w:tc>
        <w:tc>
          <w:tcPr>
            <w:tcW w:w="2097" w:type="dxa"/>
            <w:tcBorders>
              <w:top w:val="single" w:color="auto" w:sz="4" w:space="0"/>
              <w:left w:val="single" w:color="auto" w:sz="4" w:space="0"/>
              <w:bottom w:val="single" w:color="auto" w:sz="4" w:space="0"/>
              <w:right w:val="nil"/>
            </w:tcBorders>
          </w:tcPr>
          <w:p w14:paraId="1907E3E3">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22.3</w:t>
            </w:r>
          </w:p>
        </w:tc>
      </w:tr>
      <w:tr w14:paraId="0EF9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4" w:type="dxa"/>
            <w:tcBorders>
              <w:top w:val="single" w:color="auto" w:sz="4" w:space="0"/>
              <w:left w:val="nil"/>
              <w:bottom w:val="single" w:color="auto" w:sz="4" w:space="0"/>
              <w:right w:val="single" w:color="auto" w:sz="4" w:space="0"/>
            </w:tcBorders>
          </w:tcPr>
          <w:p w14:paraId="197F3EFB">
            <w:pPr>
              <w:pStyle w:val="7"/>
              <w:keepNext w:val="0"/>
              <w:keepLines w:val="0"/>
              <w:pageBreakBefore w:val="0"/>
              <w:widowControl/>
              <w:kinsoku/>
              <w:wordWrap/>
              <w:overflowPunct/>
              <w:topLinePunct w:val="0"/>
              <w:autoSpaceDE/>
              <w:autoSpaceDN/>
              <w:bidi w:val="0"/>
              <w:adjustRightInd/>
              <w:snapToGrid/>
              <w:spacing w:line="560" w:lineRule="exact"/>
              <w:ind w:firstLine="720" w:firstLineChars="300"/>
              <w:jc w:val="lef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 xml:space="preserve">         其中：65周岁及以上</w:t>
            </w:r>
          </w:p>
        </w:tc>
        <w:tc>
          <w:tcPr>
            <w:tcW w:w="1991" w:type="dxa"/>
            <w:tcBorders>
              <w:top w:val="single" w:color="auto" w:sz="4" w:space="0"/>
              <w:left w:val="single" w:color="auto" w:sz="4" w:space="0"/>
              <w:bottom w:val="single" w:color="auto" w:sz="4" w:space="0"/>
              <w:right w:val="single" w:color="auto" w:sz="4" w:space="0"/>
            </w:tcBorders>
          </w:tcPr>
          <w:p w14:paraId="1F9B95CC">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16675</w:t>
            </w:r>
          </w:p>
        </w:tc>
        <w:tc>
          <w:tcPr>
            <w:tcW w:w="2097" w:type="dxa"/>
            <w:tcBorders>
              <w:top w:val="single" w:color="auto" w:sz="4" w:space="0"/>
              <w:left w:val="single" w:color="auto" w:sz="4" w:space="0"/>
              <w:bottom w:val="single" w:color="auto" w:sz="4" w:space="0"/>
              <w:right w:val="nil"/>
            </w:tcBorders>
          </w:tcPr>
          <w:p w14:paraId="5CA9F0D2">
            <w:pPr>
              <w:pStyle w:val="7"/>
              <w:keepNext w:val="0"/>
              <w:keepLines w:val="0"/>
              <w:pageBreakBefore w:val="0"/>
              <w:widowControl/>
              <w:kinsoku/>
              <w:wordWrap/>
              <w:overflowPunct/>
              <w:topLinePunct w:val="0"/>
              <w:autoSpaceDE/>
              <w:autoSpaceDN/>
              <w:bidi w:val="0"/>
              <w:adjustRightInd/>
              <w:snapToGrid/>
              <w:spacing w:line="560" w:lineRule="exact"/>
              <w:jc w:val="right"/>
              <w:rPr>
                <w:rFonts w:hint="default"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24"/>
                <w:szCs w:val="24"/>
                <w:shd w:val="clear" w:color="auto" w:fill="FFFFFF"/>
                <w:vertAlign w:val="baseline"/>
                <w:lang w:val="en-US" w:eastAsia="zh-CN" w:bidi="ar-SA"/>
                <w14:textFill>
                  <w14:solidFill>
                    <w14:schemeClr w14:val="tx1"/>
                  </w14:solidFill>
                </w14:textFill>
              </w:rPr>
              <w:t>15.6</w:t>
            </w:r>
          </w:p>
        </w:tc>
      </w:tr>
    </w:tbl>
    <w:p w14:paraId="049F86B6">
      <w:pPr>
        <w:pStyle w:val="7"/>
        <w:keepNext w:val="0"/>
        <w:keepLines w:val="0"/>
        <w:pageBreakBefore w:val="0"/>
        <w:widowControl/>
        <w:kinsoku/>
        <w:wordWrap/>
        <w:overflowPunct/>
        <w:topLinePunct w:val="0"/>
        <w:autoSpaceDE/>
        <w:autoSpaceDN/>
        <w:bidi w:val="0"/>
        <w:adjustRightInd/>
        <w:snapToGrid/>
        <w:spacing w:line="560" w:lineRule="exact"/>
        <w:jc w:val="center"/>
        <w:rPr>
          <w:rFonts w:hint="eastAsia" w:ascii="仿宋" w:hAnsi="仿宋" w:eastAsia="仿宋" w:cs="仿宋"/>
          <w:color w:val="FF0000"/>
          <w:sz w:val="32"/>
          <w:szCs w:val="32"/>
        </w:rPr>
      </w:pPr>
    </w:p>
    <w:p w14:paraId="70434A2D">
      <w:pPr>
        <w:pStyle w:val="7"/>
        <w:keepNext w:val="0"/>
        <w:keepLines w:val="0"/>
        <w:pageBreakBefore w:val="0"/>
        <w:widowControl/>
        <w:kinsoku/>
        <w:wordWrap/>
        <w:overflowPunct/>
        <w:topLinePunct w:val="0"/>
        <w:autoSpaceDE/>
        <w:autoSpaceDN/>
        <w:bidi w:val="0"/>
        <w:adjustRightInd/>
        <w:snapToGrid/>
        <w:spacing w:line="560" w:lineRule="exact"/>
        <w:jc w:val="center"/>
        <w:rPr>
          <w:rFonts w:hint="eastAsia" w:ascii="仿宋" w:hAnsi="仿宋" w:eastAsia="仿宋" w:cs="仿宋"/>
          <w:color w:val="FF0000"/>
          <w:sz w:val="32"/>
          <w:szCs w:val="32"/>
        </w:rPr>
      </w:pPr>
    </w:p>
    <w:p w14:paraId="129F9E59">
      <w:pPr>
        <w:pStyle w:val="7"/>
        <w:keepNext w:val="0"/>
        <w:keepLines w:val="0"/>
        <w:pageBreakBefore w:val="0"/>
        <w:widowControl/>
        <w:kinsoku/>
        <w:wordWrap/>
        <w:overflowPunct/>
        <w:topLinePunct w:val="0"/>
        <w:autoSpaceDE/>
        <w:autoSpaceDN/>
        <w:bidi w:val="0"/>
        <w:adjustRightInd/>
        <w:snapToGrid/>
        <w:spacing w:line="560" w:lineRule="exact"/>
        <w:jc w:val="center"/>
        <w:rPr>
          <w:rFonts w:hint="eastAsia" w:ascii="仿宋" w:hAnsi="仿宋" w:eastAsia="仿宋" w:cs="仿宋"/>
          <w:color w:val="FF0000"/>
          <w:sz w:val="32"/>
          <w:szCs w:val="32"/>
        </w:rPr>
      </w:pPr>
      <w:r>
        <w:drawing>
          <wp:anchor distT="0" distB="0" distL="114300" distR="114300" simplePos="0" relativeHeight="251660288" behindDoc="0" locked="0" layoutInCell="1" allowOverlap="1">
            <wp:simplePos x="0" y="0"/>
            <wp:positionH relativeFrom="column">
              <wp:posOffset>35560</wp:posOffset>
            </wp:positionH>
            <wp:positionV relativeFrom="paragraph">
              <wp:posOffset>148590</wp:posOffset>
            </wp:positionV>
            <wp:extent cx="5271135" cy="2618740"/>
            <wp:effectExtent l="4445" t="4445" r="20320" b="5715"/>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0EA86914">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FF0000"/>
          <w:sz w:val="32"/>
          <w:szCs w:val="32"/>
        </w:rPr>
      </w:pPr>
    </w:p>
    <w:p w14:paraId="1B6A769B">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FF0000"/>
          <w:sz w:val="32"/>
          <w:szCs w:val="32"/>
        </w:rPr>
      </w:pPr>
    </w:p>
    <w:p w14:paraId="7458557F">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FF0000"/>
          <w:sz w:val="32"/>
          <w:szCs w:val="32"/>
        </w:rPr>
      </w:pPr>
    </w:p>
    <w:p w14:paraId="7E1C2C47">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FF0000"/>
          <w:sz w:val="32"/>
          <w:szCs w:val="32"/>
        </w:rPr>
      </w:pPr>
    </w:p>
    <w:p w14:paraId="76B4AE5A">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FF0000"/>
          <w:sz w:val="32"/>
          <w:szCs w:val="32"/>
        </w:rPr>
      </w:pPr>
    </w:p>
    <w:p w14:paraId="34C4F84F">
      <w:pPr>
        <w:pStyle w:val="7"/>
        <w:keepNext w:val="0"/>
        <w:keepLines w:val="0"/>
        <w:pageBreakBefore w:val="0"/>
        <w:widowControl/>
        <w:kinsoku/>
        <w:wordWrap/>
        <w:overflowPunct/>
        <w:topLinePunct w:val="0"/>
        <w:autoSpaceDE/>
        <w:autoSpaceDN/>
        <w:bidi w:val="0"/>
        <w:adjustRightInd/>
        <w:snapToGrid/>
        <w:spacing w:line="560" w:lineRule="exact"/>
        <w:ind w:firstLine="646" w:firstLineChars="202"/>
        <w:jc w:val="both"/>
        <w:rPr>
          <w:rFonts w:hint="eastAsia" w:ascii="仿宋" w:hAnsi="仿宋" w:eastAsia="仿宋" w:cs="仿宋"/>
          <w:color w:val="FF0000"/>
          <w:sz w:val="32"/>
          <w:szCs w:val="32"/>
        </w:rPr>
      </w:pPr>
    </w:p>
    <w:p w14:paraId="6F3407AB">
      <w:pPr>
        <w:pStyle w:val="7"/>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仿宋"/>
          <w:color w:val="FF0000"/>
          <w:sz w:val="32"/>
          <w:szCs w:val="32"/>
        </w:rPr>
      </w:pPr>
    </w:p>
    <w:p w14:paraId="41305783">
      <w:pPr>
        <w:ind w:firstLine="640" w:firstLineChars="200"/>
        <w:rPr>
          <w:rFonts w:hint="eastAsia"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pPr>
      <w:r>
        <w:rPr>
          <w:rFonts w:hint="eastAsia" w:ascii="仿宋_GB2312" w:hAnsi="宋体" w:eastAsia="仿宋_GB2312" w:cstheme="minorBidi"/>
          <w:bCs/>
          <w:color w:val="000000" w:themeColor="text1"/>
          <w:kern w:val="0"/>
          <w:sz w:val="32"/>
          <w:szCs w:val="32"/>
          <w:shd w:val="clear" w:color="auto" w:fill="FFFFFF"/>
          <w:lang w:val="en-US" w:eastAsia="zh-CN" w:bidi="ar-SA"/>
          <w14:textFill>
            <w14:solidFill>
              <w14:schemeClr w14:val="tx1"/>
            </w14:solidFill>
          </w14:textFill>
        </w:rPr>
        <w:t>全年全区城镇新增就业人员4141人，城镇失业人员再就业1234人，其中就业困难人员就业236人。新增转移农村劳动力54人,新增返乡入乡创业351人。农村劳动力转移就业总量278人，其中省内转移278人。年末城镇登记失业率为1.93%，与上年相比降低了0.91个百分点。</w:t>
      </w:r>
    </w:p>
    <w:p w14:paraId="41F540E3">
      <w:pPr>
        <w:pStyle w:val="2"/>
        <w:rPr>
          <w:rFonts w:hint="eastAsia" w:ascii="仿宋" w:hAnsi="仿宋" w:eastAsia="仿宋" w:cs="仿宋"/>
          <w:color w:val="FF0000"/>
          <w:sz w:val="32"/>
          <w:szCs w:val="32"/>
          <w:lang w:eastAsia="zh-CN"/>
        </w:rPr>
      </w:pPr>
      <w:r>
        <w:drawing>
          <wp:inline distT="0" distB="0" distL="114300" distR="114300">
            <wp:extent cx="5273040" cy="2738120"/>
            <wp:effectExtent l="4445" t="4445" r="18415" b="1968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CB22EA3">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二、农业</w:t>
      </w:r>
    </w:p>
    <w:p w14:paraId="72DB08E2">
      <w:pPr>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全年</w:t>
      </w:r>
      <w:r>
        <w:rPr>
          <w:rFonts w:hint="eastAsia" w:ascii="仿宋" w:hAnsi="仿宋" w:eastAsia="仿宋" w:cs="仿宋"/>
          <w:color w:val="000000" w:themeColor="text1"/>
          <w:sz w:val="32"/>
          <w:szCs w:val="32"/>
          <w:lang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农作物总播种面积</w:t>
      </w:r>
      <w:r>
        <w:rPr>
          <w:rFonts w:hint="eastAsia" w:ascii="仿宋" w:hAnsi="仿宋" w:eastAsia="仿宋" w:cs="仿宋"/>
          <w:color w:val="000000" w:themeColor="text1"/>
          <w:sz w:val="32"/>
          <w:szCs w:val="32"/>
          <w:lang w:val="en-US" w:eastAsia="zh-CN"/>
          <w14:textFill>
            <w14:solidFill>
              <w14:schemeClr w14:val="tx1"/>
            </w14:solidFill>
          </w14:textFill>
        </w:rPr>
        <w:t>1139.28</w:t>
      </w:r>
      <w:r>
        <w:rPr>
          <w:rFonts w:hint="eastAsia" w:ascii="仿宋" w:hAnsi="仿宋" w:eastAsia="仿宋" w:cs="仿宋"/>
          <w:color w:val="000000" w:themeColor="text1"/>
          <w:sz w:val="32"/>
          <w:szCs w:val="32"/>
          <w14:textFill>
            <w14:solidFill>
              <w14:schemeClr w14:val="tx1"/>
            </w14:solidFill>
          </w14:textFill>
        </w:rPr>
        <w:t xml:space="preserve"> 公顷，比上年</w:t>
      </w:r>
      <w:r>
        <w:rPr>
          <w:rFonts w:hint="eastAsia" w:ascii="仿宋" w:hAnsi="仿宋" w:eastAsia="仿宋" w:cs="仿宋"/>
          <w:color w:val="000000" w:themeColor="text1"/>
          <w:sz w:val="32"/>
          <w:szCs w:val="32"/>
          <w:lang w:val="en-US" w:eastAsia="zh-CN"/>
          <w14:textFill>
            <w14:solidFill>
              <w14:schemeClr w14:val="tx1"/>
            </w14:solidFill>
          </w14:textFill>
        </w:rPr>
        <w:t>减少14.54</w:t>
      </w:r>
      <w:r>
        <w:rPr>
          <w:rFonts w:hint="eastAsia" w:ascii="仿宋" w:hAnsi="仿宋" w:eastAsia="仿宋" w:cs="仿宋"/>
          <w:color w:val="000000" w:themeColor="text1"/>
          <w:sz w:val="32"/>
          <w:szCs w:val="32"/>
          <w14:textFill>
            <w14:solidFill>
              <w14:schemeClr w14:val="tx1"/>
            </w14:solidFill>
          </w14:textFill>
        </w:rPr>
        <w:t>公顷,其中粮食播种面积</w:t>
      </w:r>
      <w:r>
        <w:rPr>
          <w:rFonts w:hint="eastAsia" w:ascii="仿宋" w:hAnsi="仿宋" w:eastAsia="仿宋" w:cs="仿宋"/>
          <w:color w:val="000000" w:themeColor="text1"/>
          <w:sz w:val="32"/>
          <w:szCs w:val="32"/>
          <w:lang w:val="en-US" w:eastAsia="zh-CN"/>
          <w14:textFill>
            <w14:solidFill>
              <w14:schemeClr w14:val="tx1"/>
            </w14:solidFill>
          </w14:textFill>
        </w:rPr>
        <w:t>1074.68</w:t>
      </w:r>
      <w:r>
        <w:rPr>
          <w:rFonts w:hint="eastAsia" w:ascii="仿宋" w:hAnsi="仿宋" w:eastAsia="仿宋" w:cs="仿宋"/>
          <w:color w:val="000000" w:themeColor="text1"/>
          <w:sz w:val="32"/>
          <w:szCs w:val="32"/>
          <w14:textFill>
            <w14:solidFill>
              <w14:schemeClr w14:val="tx1"/>
            </w14:solidFill>
          </w14:textFill>
        </w:rPr>
        <w:t>公顷,比上年</w:t>
      </w:r>
      <w:r>
        <w:rPr>
          <w:rFonts w:hint="eastAsia" w:ascii="仿宋" w:hAnsi="仿宋" w:eastAsia="仿宋" w:cs="仿宋"/>
          <w:color w:val="000000" w:themeColor="text1"/>
          <w:sz w:val="32"/>
          <w:szCs w:val="32"/>
          <w:lang w:val="en-US" w:eastAsia="zh-CN"/>
          <w14:textFill>
            <w14:solidFill>
              <w14:schemeClr w14:val="tx1"/>
            </w14:solidFill>
          </w14:textFill>
        </w:rPr>
        <w:t>减少14.13</w:t>
      </w:r>
      <w:r>
        <w:rPr>
          <w:rFonts w:hint="eastAsia" w:ascii="仿宋" w:hAnsi="仿宋" w:eastAsia="仿宋" w:cs="仿宋"/>
          <w:color w:val="000000" w:themeColor="text1"/>
          <w:sz w:val="32"/>
          <w:szCs w:val="32"/>
          <w14:textFill>
            <w14:solidFill>
              <w14:schemeClr w14:val="tx1"/>
            </w14:solidFill>
          </w14:textFill>
        </w:rPr>
        <w:t>公顷，小</w:t>
      </w:r>
      <w:r>
        <w:rPr>
          <w:rFonts w:hint="eastAsia" w:ascii="仿宋" w:hAnsi="仿宋" w:eastAsia="仿宋" w:cs="仿宋"/>
          <w:color w:val="000000" w:themeColor="text1"/>
          <w:sz w:val="32"/>
          <w:szCs w:val="32"/>
          <w:highlight w:val="none"/>
          <w14:textFill>
            <w14:solidFill>
              <w14:schemeClr w14:val="tx1"/>
            </w14:solidFill>
          </w14:textFill>
        </w:rPr>
        <w:t>麦播种面积</w:t>
      </w:r>
      <w:r>
        <w:rPr>
          <w:rFonts w:hint="eastAsia" w:ascii="仿宋" w:hAnsi="仿宋" w:eastAsia="仿宋" w:cs="仿宋"/>
          <w:color w:val="000000" w:themeColor="text1"/>
          <w:sz w:val="32"/>
          <w:szCs w:val="32"/>
          <w:highlight w:val="none"/>
          <w:lang w:val="en-US" w:eastAsia="zh-CN"/>
          <w14:textFill>
            <w14:solidFill>
              <w14:schemeClr w14:val="tx1"/>
            </w14:solidFill>
          </w14:textFill>
        </w:rPr>
        <w:t>535.3</w:t>
      </w:r>
      <w:r>
        <w:rPr>
          <w:rFonts w:hint="eastAsia" w:ascii="仿宋" w:hAnsi="仿宋" w:eastAsia="仿宋" w:cs="仿宋"/>
          <w:color w:val="000000" w:themeColor="text1"/>
          <w:sz w:val="32"/>
          <w:szCs w:val="32"/>
          <w:highlight w:val="none"/>
          <w14:textFill>
            <w14:solidFill>
              <w14:schemeClr w14:val="tx1"/>
            </w14:solidFill>
          </w14:textFill>
        </w:rPr>
        <w:t>公顷，比上年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增加4.53</w:t>
      </w:r>
      <w:r>
        <w:rPr>
          <w:rFonts w:hint="eastAsia" w:ascii="仿宋" w:hAnsi="仿宋" w:eastAsia="仿宋" w:cs="仿宋"/>
          <w:color w:val="000000" w:themeColor="text1"/>
          <w:sz w:val="32"/>
          <w:szCs w:val="32"/>
          <w:highlight w:val="none"/>
          <w14:textFill>
            <w14:solidFill>
              <w14:schemeClr w14:val="tx1"/>
            </w14:solidFill>
          </w14:textFill>
        </w:rPr>
        <w:t>公顷,玉米播种面积</w:t>
      </w:r>
      <w:r>
        <w:rPr>
          <w:rFonts w:hint="eastAsia" w:ascii="仿宋" w:hAnsi="仿宋" w:eastAsia="仿宋" w:cs="仿宋"/>
          <w:color w:val="000000" w:themeColor="text1"/>
          <w:sz w:val="32"/>
          <w:szCs w:val="32"/>
          <w:highlight w:val="none"/>
          <w:lang w:val="en-US" w:eastAsia="zh-CN"/>
          <w14:textFill>
            <w14:solidFill>
              <w14:schemeClr w14:val="tx1"/>
            </w14:solidFill>
          </w14:textFill>
        </w:rPr>
        <w:t>539.38</w:t>
      </w:r>
      <w:r>
        <w:rPr>
          <w:rFonts w:hint="eastAsia" w:ascii="仿宋" w:hAnsi="仿宋" w:eastAsia="仿宋" w:cs="仿宋"/>
          <w:color w:val="000000" w:themeColor="text1"/>
          <w:sz w:val="32"/>
          <w:szCs w:val="32"/>
          <w:highlight w:val="none"/>
          <w14:textFill>
            <w14:solidFill>
              <w14:schemeClr w14:val="tx1"/>
            </w14:solidFill>
          </w14:textFill>
        </w:rPr>
        <w:t>公顷，比上年</w:t>
      </w:r>
      <w:r>
        <w:rPr>
          <w:rFonts w:hint="eastAsia" w:ascii="仿宋" w:hAnsi="仿宋" w:eastAsia="仿宋" w:cs="仿宋"/>
          <w:color w:val="000000" w:themeColor="text1"/>
          <w:sz w:val="32"/>
          <w:szCs w:val="32"/>
          <w:highlight w:val="none"/>
          <w:lang w:val="en-US" w:eastAsia="zh-CN"/>
          <w14:textFill>
            <w14:solidFill>
              <w14:schemeClr w14:val="tx1"/>
            </w14:solidFill>
          </w14:textFill>
        </w:rPr>
        <w:t>下降18.66</w:t>
      </w:r>
      <w:r>
        <w:rPr>
          <w:rFonts w:hint="eastAsia" w:ascii="仿宋" w:hAnsi="仿宋" w:eastAsia="仿宋" w:cs="仿宋"/>
          <w:color w:val="000000" w:themeColor="text1"/>
          <w:sz w:val="32"/>
          <w:szCs w:val="32"/>
          <w:highlight w:val="none"/>
          <w14:textFill>
            <w14:solidFill>
              <w14:schemeClr w14:val="tx1"/>
            </w14:solidFill>
          </w14:textFill>
        </w:rPr>
        <w:t>公顷,蔬菜播种面积</w:t>
      </w:r>
      <w:r>
        <w:rPr>
          <w:rFonts w:hint="eastAsia" w:ascii="仿宋" w:hAnsi="仿宋" w:eastAsia="仿宋" w:cs="仿宋"/>
          <w:color w:val="000000" w:themeColor="text1"/>
          <w:sz w:val="32"/>
          <w:szCs w:val="32"/>
          <w:highlight w:val="none"/>
          <w:lang w:val="en-US" w:eastAsia="zh-CN"/>
          <w14:textFill>
            <w14:solidFill>
              <w14:schemeClr w14:val="tx1"/>
            </w14:solidFill>
          </w14:textFill>
        </w:rPr>
        <w:t>64.6</w:t>
      </w:r>
      <w:r>
        <w:rPr>
          <w:rFonts w:hint="eastAsia" w:ascii="仿宋" w:hAnsi="仿宋" w:eastAsia="仿宋" w:cs="仿宋"/>
          <w:color w:val="000000" w:themeColor="text1"/>
          <w:sz w:val="32"/>
          <w:szCs w:val="32"/>
          <w:highlight w:val="none"/>
          <w14:textFill>
            <w14:solidFill>
              <w14:schemeClr w14:val="tx1"/>
            </w14:solidFill>
          </w14:textFill>
        </w:rPr>
        <w:t>公顷，比上年</w:t>
      </w:r>
      <w:r>
        <w:rPr>
          <w:rFonts w:hint="eastAsia" w:ascii="仿宋" w:hAnsi="仿宋" w:eastAsia="仿宋" w:cs="仿宋"/>
          <w:color w:val="000000" w:themeColor="text1"/>
          <w:sz w:val="32"/>
          <w:szCs w:val="32"/>
          <w:highlight w:val="none"/>
          <w:lang w:val="en-US" w:eastAsia="zh-CN"/>
          <w14:textFill>
            <w14:solidFill>
              <w14:schemeClr w14:val="tx1"/>
            </w14:solidFill>
          </w14:textFill>
        </w:rPr>
        <w:t>减少0.6</w:t>
      </w:r>
      <w:r>
        <w:rPr>
          <w:rFonts w:hint="eastAsia" w:ascii="仿宋" w:hAnsi="仿宋" w:eastAsia="仿宋" w:cs="仿宋"/>
          <w:color w:val="000000" w:themeColor="text1"/>
          <w:sz w:val="32"/>
          <w:szCs w:val="32"/>
          <w:highlight w:val="none"/>
          <w14:textFill>
            <w14:solidFill>
              <w14:schemeClr w14:val="tx1"/>
            </w14:solidFill>
          </w14:textFill>
        </w:rPr>
        <w:t>公顷。</w:t>
      </w:r>
    </w:p>
    <w:p w14:paraId="07C9338A">
      <w:pPr>
        <w:ind w:firstLine="640" w:firstLineChars="200"/>
        <w:rPr>
          <w:rFonts w:hint="eastAsia" w:ascii="仿宋" w:hAnsi="仿宋" w:eastAsia="仿宋" w:cs="仿宋"/>
          <w:color w:val="FF0000"/>
          <w:sz w:val="32"/>
          <w:szCs w:val="32"/>
        </w:rPr>
      </w:pPr>
      <w:r>
        <w:rPr>
          <w:rFonts w:hint="eastAsia" w:ascii="仿宋" w:hAnsi="仿宋" w:eastAsia="仿宋" w:cs="仿宋"/>
          <w:color w:val="000000" w:themeColor="text1"/>
          <w:sz w:val="32"/>
          <w:szCs w:val="32"/>
          <w:highlight w:val="none"/>
          <w14:textFill>
            <w14:solidFill>
              <w14:schemeClr w14:val="tx1"/>
            </w14:solidFill>
          </w14:textFill>
        </w:rPr>
        <w:t>全年</w:t>
      </w:r>
      <w:r>
        <w:rPr>
          <w:rFonts w:hint="eastAsia" w:ascii="仿宋" w:hAnsi="仿宋" w:eastAsia="仿宋" w:cs="仿宋"/>
          <w:color w:val="000000" w:themeColor="text1"/>
          <w:sz w:val="32"/>
          <w:szCs w:val="32"/>
          <w:highlight w:val="none"/>
          <w:lang w:eastAsia="zh-CN"/>
          <w14:textFill>
            <w14:solidFill>
              <w14:schemeClr w14:val="tx1"/>
            </w14:solidFill>
          </w14:textFill>
        </w:rPr>
        <w:t>全区</w:t>
      </w:r>
      <w:r>
        <w:rPr>
          <w:rFonts w:hint="eastAsia" w:ascii="仿宋" w:hAnsi="仿宋" w:eastAsia="仿宋" w:cs="仿宋"/>
          <w:color w:val="000000" w:themeColor="text1"/>
          <w:sz w:val="32"/>
          <w:szCs w:val="32"/>
          <w:highlight w:val="none"/>
          <w14:textFill>
            <w14:solidFill>
              <w14:schemeClr w14:val="tx1"/>
            </w14:solidFill>
          </w14:textFill>
        </w:rPr>
        <w:t>粮食</w:t>
      </w:r>
      <w:r>
        <w:rPr>
          <w:rFonts w:hint="eastAsia" w:ascii="仿宋" w:hAnsi="仿宋" w:eastAsia="仿宋" w:cs="仿宋"/>
          <w:color w:val="000000" w:themeColor="text1"/>
          <w:sz w:val="32"/>
          <w:szCs w:val="32"/>
          <w:highlight w:val="none"/>
          <w:lang w:val="en-US" w:eastAsia="zh-CN"/>
          <w14:textFill>
            <w14:solidFill>
              <w14:schemeClr w14:val="tx1"/>
            </w14:solidFill>
          </w14:textFill>
        </w:rPr>
        <w:t>总</w:t>
      </w:r>
      <w:r>
        <w:rPr>
          <w:rFonts w:hint="eastAsia" w:ascii="仿宋" w:hAnsi="仿宋" w:eastAsia="仿宋" w:cs="仿宋"/>
          <w:color w:val="000000" w:themeColor="text1"/>
          <w:sz w:val="32"/>
          <w:szCs w:val="32"/>
          <w:highlight w:val="none"/>
          <w14:textFill>
            <w14:solidFill>
              <w14:schemeClr w14:val="tx1"/>
            </w14:solidFill>
          </w14:textFill>
        </w:rPr>
        <w:t>产量</w:t>
      </w:r>
      <w:r>
        <w:rPr>
          <w:rFonts w:hint="eastAsia" w:ascii="仿宋" w:hAnsi="仿宋" w:eastAsia="仿宋" w:cs="仿宋"/>
          <w:color w:val="000000" w:themeColor="text1"/>
          <w:sz w:val="32"/>
          <w:szCs w:val="32"/>
          <w:highlight w:val="none"/>
          <w:lang w:val="en-US" w:eastAsia="zh-CN"/>
          <w14:textFill>
            <w14:solidFill>
              <w14:schemeClr w14:val="tx1"/>
            </w14:solidFill>
          </w14:textFill>
        </w:rPr>
        <w:t>5153</w:t>
      </w:r>
      <w:r>
        <w:rPr>
          <w:rFonts w:hint="eastAsia" w:ascii="仿宋" w:hAnsi="仿宋" w:eastAsia="仿宋" w:cs="仿宋"/>
          <w:color w:val="000000" w:themeColor="text1"/>
          <w:sz w:val="32"/>
          <w:szCs w:val="32"/>
          <w:highlight w:val="none"/>
          <w14:textFill>
            <w14:solidFill>
              <w14:schemeClr w14:val="tx1"/>
            </w14:solidFill>
          </w14:textFill>
        </w:rPr>
        <w:t>吨，比上年增长</w:t>
      </w:r>
      <w:r>
        <w:rPr>
          <w:rFonts w:hint="eastAsia" w:ascii="仿宋" w:hAnsi="仿宋" w:eastAsia="仿宋" w:cs="仿宋"/>
          <w:color w:val="000000" w:themeColor="text1"/>
          <w:sz w:val="32"/>
          <w:szCs w:val="32"/>
          <w:highlight w:val="none"/>
          <w:lang w:val="en-US" w:eastAsia="zh-CN"/>
          <w14:textFill>
            <w14:solidFill>
              <w14:schemeClr w14:val="tx1"/>
            </w14:solidFill>
          </w14:textFill>
        </w:rPr>
        <w:t>1.3</w:t>
      </w:r>
      <w:r>
        <w:rPr>
          <w:rFonts w:hint="eastAsia" w:ascii="仿宋" w:hAnsi="仿宋" w:eastAsia="仿宋" w:cs="仿宋"/>
          <w:color w:val="000000" w:themeColor="text1"/>
          <w:sz w:val="32"/>
          <w:szCs w:val="32"/>
          <w:highlight w:val="none"/>
          <w14:textFill>
            <w14:solidFill>
              <w14:schemeClr w14:val="tx1"/>
            </w14:solidFill>
          </w14:textFill>
        </w:rPr>
        <w:t>%；蔬菜总产量</w:t>
      </w:r>
      <w:r>
        <w:rPr>
          <w:rFonts w:hint="eastAsia" w:ascii="仿宋" w:hAnsi="仿宋" w:eastAsia="仿宋" w:cs="仿宋"/>
          <w:color w:val="000000" w:themeColor="text1"/>
          <w:sz w:val="32"/>
          <w:szCs w:val="32"/>
          <w:highlight w:val="none"/>
          <w:lang w:val="en-US" w:eastAsia="zh-CN"/>
          <w14:textFill>
            <w14:solidFill>
              <w14:schemeClr w14:val="tx1"/>
            </w14:solidFill>
          </w14:textFill>
        </w:rPr>
        <w:t>2556.2</w:t>
      </w:r>
      <w:r>
        <w:rPr>
          <w:rFonts w:hint="eastAsia" w:ascii="仿宋" w:hAnsi="仿宋" w:eastAsia="仿宋" w:cs="仿宋"/>
          <w:color w:val="000000" w:themeColor="text1"/>
          <w:sz w:val="32"/>
          <w:szCs w:val="32"/>
          <w:highlight w:val="none"/>
          <w14:textFill>
            <w14:solidFill>
              <w14:schemeClr w14:val="tx1"/>
            </w14:solidFill>
          </w14:textFill>
        </w:rPr>
        <w:t>吨，比上年增长</w:t>
      </w:r>
      <w:r>
        <w:rPr>
          <w:rFonts w:hint="eastAsia" w:ascii="仿宋" w:hAnsi="仿宋" w:eastAsia="仿宋" w:cs="仿宋"/>
          <w:color w:val="000000" w:themeColor="text1"/>
          <w:sz w:val="32"/>
          <w:szCs w:val="32"/>
          <w:highlight w:val="none"/>
          <w:lang w:val="en-US" w:eastAsia="zh-CN"/>
          <w14:textFill>
            <w14:solidFill>
              <w14:schemeClr w14:val="tx1"/>
            </w14:solidFill>
          </w14:textFill>
        </w:rPr>
        <w:t>1.5</w:t>
      </w:r>
      <w:r>
        <w:rPr>
          <w:rFonts w:hint="eastAsia" w:ascii="仿宋" w:hAnsi="仿宋" w:eastAsia="仿宋" w:cs="仿宋"/>
          <w:color w:val="000000" w:themeColor="text1"/>
          <w:sz w:val="32"/>
          <w:szCs w:val="32"/>
          <w:highlight w:val="none"/>
          <w14:textFill>
            <w14:solidFill>
              <w14:schemeClr w14:val="tx1"/>
            </w14:solidFill>
          </w14:textFill>
        </w:rPr>
        <w:t>%；水果总产量</w:t>
      </w:r>
      <w:r>
        <w:rPr>
          <w:rFonts w:hint="eastAsia" w:ascii="仿宋" w:hAnsi="仿宋" w:eastAsia="仿宋" w:cs="仿宋"/>
          <w:color w:val="000000" w:themeColor="text1"/>
          <w:sz w:val="32"/>
          <w:szCs w:val="32"/>
          <w:lang w:val="en-US" w:eastAsia="zh-CN"/>
          <w14:textFill>
            <w14:solidFill>
              <w14:schemeClr w14:val="tx1"/>
            </w14:solidFill>
          </w14:textFill>
        </w:rPr>
        <w:t>333.8</w:t>
      </w:r>
      <w:r>
        <w:rPr>
          <w:rFonts w:hint="eastAsia" w:ascii="仿宋" w:hAnsi="仿宋" w:eastAsia="仿宋" w:cs="仿宋"/>
          <w:color w:val="000000" w:themeColor="text1"/>
          <w:sz w:val="32"/>
          <w:szCs w:val="32"/>
          <w14:textFill>
            <w14:solidFill>
              <w14:schemeClr w14:val="tx1"/>
            </w14:solidFill>
          </w14:textFill>
        </w:rPr>
        <w:t>吨，比上年下降</w:t>
      </w:r>
      <w:r>
        <w:rPr>
          <w:rFonts w:hint="eastAsia" w:ascii="仿宋" w:hAnsi="仿宋" w:eastAsia="仿宋" w:cs="仿宋"/>
          <w:color w:val="000000" w:themeColor="text1"/>
          <w:sz w:val="32"/>
          <w:szCs w:val="32"/>
          <w:lang w:val="en-US" w:eastAsia="zh-CN"/>
          <w14:textFill>
            <w14:solidFill>
              <w14:schemeClr w14:val="tx1"/>
            </w14:solidFill>
          </w14:textFill>
        </w:rPr>
        <w:t>17.5</w:t>
      </w:r>
      <w:r>
        <w:rPr>
          <w:rFonts w:hint="eastAsia" w:ascii="仿宋" w:hAnsi="仿宋" w:eastAsia="仿宋" w:cs="仿宋"/>
          <w:color w:val="000000" w:themeColor="text1"/>
          <w:sz w:val="32"/>
          <w:szCs w:val="32"/>
          <w14:textFill>
            <w14:solidFill>
              <w14:schemeClr w14:val="tx1"/>
            </w14:solidFill>
          </w14:textFill>
        </w:rPr>
        <w:t xml:space="preserve"> %。</w:t>
      </w:r>
    </w:p>
    <w:p w14:paraId="2E52898C">
      <w:pPr>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全年</w:t>
      </w:r>
      <w:r>
        <w:rPr>
          <w:rFonts w:hint="eastAsia" w:ascii="仿宋" w:hAnsi="仿宋" w:eastAsia="仿宋" w:cs="仿宋"/>
          <w:color w:val="000000" w:themeColor="text1"/>
          <w:sz w:val="32"/>
          <w:szCs w:val="32"/>
          <w:lang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生猪存栏</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7904</w:t>
      </w:r>
      <w:r>
        <w:rPr>
          <w:rFonts w:hint="eastAsia" w:ascii="仿宋" w:hAnsi="仿宋" w:eastAsia="仿宋" w:cs="仿宋"/>
          <w:color w:val="000000" w:themeColor="text1"/>
          <w:sz w:val="32"/>
          <w:szCs w:val="32"/>
          <w14:textFill>
            <w14:solidFill>
              <w14:schemeClr w14:val="tx1"/>
            </w14:solidFill>
          </w14:textFill>
        </w:rPr>
        <w:t>头，比上年</w:t>
      </w:r>
      <w:r>
        <w:rPr>
          <w:rFonts w:hint="eastAsia" w:ascii="仿宋" w:hAnsi="仿宋" w:eastAsia="仿宋" w:cs="仿宋"/>
          <w:color w:val="000000" w:themeColor="text1"/>
          <w:sz w:val="32"/>
          <w:szCs w:val="32"/>
          <w:lang w:val="en-US" w:eastAsia="zh-CN"/>
          <w14:textFill>
            <w14:solidFill>
              <w14:schemeClr w14:val="tx1"/>
            </w14:solidFill>
          </w14:textFill>
        </w:rPr>
        <w:t>下降</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20.3</w:t>
      </w:r>
      <w:r>
        <w:rPr>
          <w:rFonts w:hint="eastAsia" w:ascii="仿宋" w:hAnsi="仿宋" w:eastAsia="仿宋" w:cs="仿宋"/>
          <w:color w:val="000000" w:themeColor="text1"/>
          <w:sz w:val="32"/>
          <w:szCs w:val="32"/>
          <w14:textFill>
            <w14:solidFill>
              <w14:schemeClr w14:val="tx1"/>
            </w14:solidFill>
          </w14:textFill>
        </w:rPr>
        <w:t>%,牛存栏</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810</w:t>
      </w:r>
      <w:r>
        <w:rPr>
          <w:rFonts w:hint="eastAsia" w:ascii="仿宋" w:hAnsi="仿宋" w:eastAsia="仿宋" w:cs="仿宋"/>
          <w:color w:val="000000" w:themeColor="text1"/>
          <w:sz w:val="32"/>
          <w:szCs w:val="32"/>
          <w14:textFill>
            <w14:solidFill>
              <w14:schemeClr w14:val="tx1"/>
            </w14:solidFill>
          </w14:textFill>
        </w:rPr>
        <w:t>头，比上年增长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26.2</w:t>
      </w:r>
      <w:r>
        <w:rPr>
          <w:rFonts w:hint="eastAsia" w:ascii="仿宋" w:hAnsi="仿宋" w:eastAsia="仿宋" w:cs="仿宋"/>
          <w:color w:val="000000" w:themeColor="text1"/>
          <w:sz w:val="32"/>
          <w:szCs w:val="32"/>
          <w14:textFill>
            <w14:solidFill>
              <w14:schemeClr w14:val="tx1"/>
            </w14:solidFill>
          </w14:textFill>
        </w:rPr>
        <w:t>%，羊存栏</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28632</w:t>
      </w:r>
      <w:r>
        <w:rPr>
          <w:rFonts w:hint="eastAsia" w:ascii="仿宋" w:hAnsi="仿宋" w:eastAsia="仿宋" w:cs="仿宋"/>
          <w:color w:val="000000" w:themeColor="text1"/>
          <w:sz w:val="32"/>
          <w:szCs w:val="32"/>
          <w14:textFill>
            <w14:solidFill>
              <w14:schemeClr w14:val="tx1"/>
            </w14:solidFill>
          </w14:textFill>
        </w:rPr>
        <w:t>只,比上年</w:t>
      </w:r>
      <w:r>
        <w:rPr>
          <w:rFonts w:hint="eastAsia" w:ascii="仿宋" w:hAnsi="仿宋" w:eastAsia="仿宋" w:cs="仿宋"/>
          <w:color w:val="000000" w:themeColor="text1"/>
          <w:sz w:val="32"/>
          <w:szCs w:val="32"/>
          <w:lang w:val="en-US" w:eastAsia="zh-CN"/>
          <w14:textFill>
            <w14:solidFill>
              <w14:schemeClr w14:val="tx1"/>
            </w14:solidFill>
          </w14:textFill>
        </w:rPr>
        <w:t>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76.3</w:t>
      </w:r>
      <w:r>
        <w:rPr>
          <w:rFonts w:hint="eastAsia" w:ascii="仿宋" w:hAnsi="仿宋" w:eastAsia="仿宋" w:cs="仿宋"/>
          <w:color w:val="000000" w:themeColor="text1"/>
          <w:sz w:val="32"/>
          <w:szCs w:val="32"/>
          <w14:textFill>
            <w14:solidFill>
              <w14:schemeClr w14:val="tx1"/>
            </w14:solidFill>
          </w14:textFill>
        </w:rPr>
        <w:t>%,家禽存栏</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88155</w:t>
      </w:r>
      <w:r>
        <w:rPr>
          <w:rFonts w:hint="eastAsia" w:ascii="仿宋" w:hAnsi="仿宋" w:eastAsia="仿宋" w:cs="仿宋"/>
          <w:color w:val="000000" w:themeColor="text1"/>
          <w:sz w:val="32"/>
          <w:szCs w:val="32"/>
          <w14:textFill>
            <w14:solidFill>
              <w14:schemeClr w14:val="tx1"/>
            </w14:solidFill>
          </w14:textFill>
        </w:rPr>
        <w:t>只，比上年</w:t>
      </w:r>
      <w:r>
        <w:rPr>
          <w:rFonts w:hint="eastAsia" w:ascii="仿宋" w:hAnsi="仿宋" w:eastAsia="仿宋" w:cs="仿宋"/>
          <w:color w:val="000000" w:themeColor="text1"/>
          <w:sz w:val="32"/>
          <w:szCs w:val="32"/>
          <w:lang w:val="en-US" w:eastAsia="zh-CN"/>
          <w14:textFill>
            <w14:solidFill>
              <w14:schemeClr w14:val="tx1"/>
            </w14:solidFill>
          </w14:textFill>
        </w:rPr>
        <w:t>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w:t>
      </w:r>
    </w:p>
    <w:p w14:paraId="3CD46B9E">
      <w:pPr>
        <w:keepNext w:val="0"/>
        <w:keepLines w:val="0"/>
        <w:pageBreakBefore w:val="0"/>
        <w:kinsoku/>
        <w:wordWrap/>
        <w:overflowPunct/>
        <w:topLinePunct w:val="0"/>
        <w:autoSpaceDE/>
        <w:bidi w:val="0"/>
        <w:snapToGrid/>
        <w:spacing w:line="560" w:lineRule="exact"/>
        <w:ind w:left="0" w:firstLine="640" w:firstLineChars="200"/>
        <w:jc w:val="both"/>
        <w:rPr>
          <w:rFonts w:hint="eastAsia" w:ascii="仿宋_GB2312" w:hAnsi="宋体" w:eastAsia="仿宋_GB2312"/>
          <w:bCs/>
          <w:color w:val="000000" w:themeColor="text1"/>
          <w:kern w:val="0"/>
          <w:sz w:val="32"/>
          <w:szCs w:val="32"/>
          <w:shd w:val="clear" w:color="auto" w:fill="FFFFFF"/>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全年全区</w:t>
      </w:r>
      <w:r>
        <w:rPr>
          <w:rFonts w:hint="eastAsia" w:ascii="仿宋" w:hAnsi="仿宋" w:eastAsia="仿宋" w:cs="仿宋"/>
          <w:color w:val="000000" w:themeColor="text1"/>
          <w:sz w:val="32"/>
          <w:szCs w:val="32"/>
          <w14:textFill>
            <w14:solidFill>
              <w14:schemeClr w14:val="tx1"/>
            </w14:solidFill>
          </w14:textFill>
        </w:rPr>
        <w:t>肉类总产量</w:t>
      </w:r>
      <w:r>
        <w:rPr>
          <w:rFonts w:hint="eastAsia" w:ascii="仿宋" w:hAnsi="仿宋" w:eastAsia="仿宋" w:cs="仿宋"/>
          <w:color w:val="000000" w:themeColor="text1"/>
          <w:sz w:val="32"/>
          <w:szCs w:val="32"/>
          <w:lang w:val="en-US" w:eastAsia="zh-CN"/>
          <w14:textFill>
            <w14:solidFill>
              <w14:schemeClr w14:val="tx1"/>
            </w14:solidFill>
          </w14:textFill>
        </w:rPr>
        <w:t>1211</w:t>
      </w:r>
      <w:r>
        <w:rPr>
          <w:rFonts w:hint="eastAsia" w:ascii="仿宋" w:hAnsi="仿宋" w:eastAsia="仿宋" w:cs="仿宋"/>
          <w:color w:val="000000" w:themeColor="text1"/>
          <w:sz w:val="32"/>
          <w:szCs w:val="32"/>
          <w14:textFill>
            <w14:solidFill>
              <w14:schemeClr w14:val="tx1"/>
            </w14:solidFill>
          </w14:textFill>
        </w:rPr>
        <w:t>吨，比上年</w:t>
      </w:r>
      <w:r>
        <w:rPr>
          <w:rFonts w:hint="eastAsia" w:ascii="仿宋" w:hAnsi="仿宋" w:eastAsia="仿宋" w:cs="仿宋"/>
          <w:color w:val="000000" w:themeColor="text1"/>
          <w:sz w:val="32"/>
          <w:szCs w:val="32"/>
          <w:lang w:val="en-US" w:eastAsia="zh-CN"/>
          <w14:textFill>
            <w14:solidFill>
              <w14:schemeClr w14:val="tx1"/>
            </w14:solidFill>
          </w14:textFill>
        </w:rPr>
        <w:t>下降13.3</w:t>
      </w:r>
      <w:r>
        <w:rPr>
          <w:rFonts w:hint="eastAsia" w:ascii="仿宋" w:hAnsi="仿宋" w:eastAsia="仿宋" w:cs="仿宋"/>
          <w:color w:val="000000" w:themeColor="text1"/>
          <w:sz w:val="32"/>
          <w:szCs w:val="32"/>
          <w14:textFill>
            <w14:solidFill>
              <w14:schemeClr w14:val="tx1"/>
            </w14:solidFill>
          </w14:textFill>
        </w:rPr>
        <w:t>%；蛋</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类产量</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837</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吨，比上年</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下降30.7</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p>
    <w:p w14:paraId="00B6DAA2">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三、工业和建筑业</w:t>
      </w:r>
      <w:bookmarkStart w:id="0" w:name="_GoBack"/>
      <w:bookmarkEnd w:id="0"/>
    </w:p>
    <w:p w14:paraId="6E0FB7AD">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宋体" w:eastAsia="仿宋_GB2312"/>
          <w:bCs/>
          <w:color w:val="FF0000"/>
          <w:sz w:val="32"/>
          <w:szCs w:val="32"/>
          <w:shd w:val="clear" w:color="auto" w:fill="FFFFFF"/>
          <w:lang w:val="en-US" w:eastAsia="zh-CN"/>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全年全区规模以上工业增加值比上年增长6.3%。分经济类型看，国有控股企业增加值增长3.6%；股份制企业增长6.9%，外商及港澳台商投资企业下降1.8%；私营企业增长1.1%。分门类看，采矿业增加值增长4.0%，制造业增长6.1%，电力、热力、燃气及水生产和供应业下降1.8%。分重点产业看，五大主导产业增加值增长10.9%，占规模以上工业增加值的比重为46.8%；传统支柱产业增长1.5%，占规模以上工业的50.1%；工业战略性新兴产业增长9.8%，占规模以上工业的61.2%；高技术制造业增长12.9%，占规模以上工业的16.0%。全年全区规模以上工业产品销售率99.3%。</w:t>
      </w:r>
    </w:p>
    <w:p w14:paraId="6BB8BD44">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pPr>
      <w:r>
        <w:rPr>
          <w:rFonts w:hint="eastAsia"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t>表2：2023年中站区规模以上工业主要产品产量及其增长速度</w:t>
      </w:r>
    </w:p>
    <w:tbl>
      <w:tblPr>
        <w:tblStyle w:val="8"/>
        <w:tblW w:w="8333"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3786"/>
        <w:gridCol w:w="1228"/>
        <w:gridCol w:w="1704"/>
        <w:gridCol w:w="1615"/>
      </w:tblGrid>
      <w:tr w14:paraId="6FB267F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3786" w:type="dxa"/>
            <w:tcBorders>
              <w:top w:val="single" w:color="auto" w:sz="4" w:space="0"/>
            </w:tcBorders>
            <w:tcMar>
              <w:top w:w="15" w:type="dxa"/>
              <w:left w:w="15" w:type="dxa"/>
              <w:right w:w="15" w:type="dxa"/>
            </w:tcMar>
            <w:vAlign w:val="bottom"/>
          </w:tcPr>
          <w:p w14:paraId="27B88DAE">
            <w:pPr>
              <w:keepNext w:val="0"/>
              <w:keepLines w:val="0"/>
              <w:widowControl/>
              <w:suppressLineNumbers w:val="0"/>
              <w:jc w:val="center"/>
              <w:textAlignment w:val="bottom"/>
              <w:rPr>
                <w:rFonts w:hint="eastAsia" w:ascii="仿宋" w:hAnsi="仿宋" w:eastAsia="仿宋" w:cs="仿宋"/>
                <w:b/>
                <w:bCs/>
                <w:i w:val="0"/>
                <w:color w:val="000000" w:themeColor="text1"/>
                <w:sz w:val="28"/>
                <w:szCs w:val="28"/>
                <w:u w:val="none"/>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产品名称</w:t>
            </w:r>
          </w:p>
        </w:tc>
        <w:tc>
          <w:tcPr>
            <w:tcW w:w="1228" w:type="dxa"/>
            <w:tcBorders>
              <w:top w:val="single" w:color="auto" w:sz="4" w:space="0"/>
            </w:tcBorders>
            <w:tcMar>
              <w:top w:w="15" w:type="dxa"/>
              <w:left w:w="15" w:type="dxa"/>
              <w:right w:w="15" w:type="dxa"/>
            </w:tcMar>
            <w:vAlign w:val="bottom"/>
          </w:tcPr>
          <w:p w14:paraId="6F30AD70">
            <w:pPr>
              <w:keepNext w:val="0"/>
              <w:keepLines w:val="0"/>
              <w:widowControl/>
              <w:suppressLineNumbers w:val="0"/>
              <w:jc w:val="center"/>
              <w:textAlignment w:val="bottom"/>
              <w:rPr>
                <w:rFonts w:hint="eastAsia" w:ascii="仿宋" w:hAnsi="仿宋" w:eastAsia="仿宋" w:cs="仿宋"/>
                <w:b/>
                <w:bCs/>
                <w:i w:val="0"/>
                <w:color w:val="000000" w:themeColor="text1"/>
                <w:sz w:val="28"/>
                <w:szCs w:val="28"/>
                <w:u w:val="none"/>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单  位</w:t>
            </w:r>
          </w:p>
        </w:tc>
        <w:tc>
          <w:tcPr>
            <w:tcW w:w="1704" w:type="dxa"/>
            <w:tcBorders>
              <w:top w:val="single" w:color="auto" w:sz="4" w:space="0"/>
            </w:tcBorders>
            <w:tcMar>
              <w:top w:w="15" w:type="dxa"/>
              <w:left w:w="15" w:type="dxa"/>
              <w:right w:w="15" w:type="dxa"/>
            </w:tcMar>
            <w:vAlign w:val="bottom"/>
          </w:tcPr>
          <w:p w14:paraId="379812E0">
            <w:pPr>
              <w:keepNext w:val="0"/>
              <w:keepLines w:val="0"/>
              <w:widowControl/>
              <w:suppressLineNumbers w:val="0"/>
              <w:jc w:val="center"/>
              <w:textAlignment w:val="bottom"/>
              <w:rPr>
                <w:rFonts w:hint="eastAsia" w:ascii="仿宋" w:hAnsi="仿宋" w:eastAsia="仿宋" w:cs="仿宋"/>
                <w:b/>
                <w:bCs/>
                <w:i w:val="0"/>
                <w:color w:val="000000" w:themeColor="text1"/>
                <w:sz w:val="28"/>
                <w:szCs w:val="28"/>
                <w:u w:val="none"/>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产 量</w:t>
            </w:r>
          </w:p>
        </w:tc>
        <w:tc>
          <w:tcPr>
            <w:tcW w:w="1615" w:type="dxa"/>
            <w:tcBorders>
              <w:top w:val="single" w:color="auto" w:sz="4" w:space="0"/>
            </w:tcBorders>
            <w:tcMar>
              <w:top w:w="15" w:type="dxa"/>
              <w:left w:w="15" w:type="dxa"/>
              <w:right w:w="15" w:type="dxa"/>
            </w:tcMar>
            <w:vAlign w:val="bottom"/>
          </w:tcPr>
          <w:p w14:paraId="10CB919A">
            <w:pPr>
              <w:keepNext w:val="0"/>
              <w:keepLines w:val="0"/>
              <w:widowControl/>
              <w:suppressLineNumbers w:val="0"/>
              <w:jc w:val="center"/>
              <w:textAlignment w:val="bottom"/>
              <w:rPr>
                <w:rFonts w:hint="eastAsia" w:ascii="仿宋" w:hAnsi="仿宋" w:eastAsia="仿宋" w:cs="仿宋"/>
                <w:b/>
                <w:bCs/>
                <w:i w:val="0"/>
                <w:color w:val="000000" w:themeColor="text1"/>
                <w:sz w:val="28"/>
                <w:szCs w:val="28"/>
                <w:u w:val="none"/>
                <w14:textFill>
                  <w14:solidFill>
                    <w14:schemeClr w14:val="tx1"/>
                  </w14:solidFill>
                </w14:textFill>
              </w:rPr>
            </w:pPr>
            <w:r>
              <w:rPr>
                <w:rFonts w:hint="eastAsia" w:ascii="仿宋" w:hAnsi="仿宋" w:eastAsia="仿宋" w:cs="仿宋"/>
                <w:b/>
                <w:bCs/>
                <w:i w:val="0"/>
                <w:color w:val="000000" w:themeColor="text1"/>
                <w:kern w:val="0"/>
                <w:sz w:val="28"/>
                <w:szCs w:val="28"/>
                <w:u w:val="none"/>
                <w:lang w:val="en-US" w:eastAsia="zh-CN" w:bidi="ar"/>
                <w14:textFill>
                  <w14:solidFill>
                    <w14:schemeClr w14:val="tx1"/>
                  </w14:solidFill>
                </w14:textFill>
              </w:rPr>
              <w:t>比上年增长%</w:t>
            </w:r>
          </w:p>
        </w:tc>
      </w:tr>
      <w:tr w14:paraId="129179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42D20D9E">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高岭土（瓷土）</w:t>
            </w:r>
          </w:p>
        </w:tc>
        <w:tc>
          <w:tcPr>
            <w:tcW w:w="1228" w:type="dxa"/>
            <w:tcMar>
              <w:top w:w="15" w:type="dxa"/>
              <w:left w:w="15" w:type="dxa"/>
              <w:right w:w="15" w:type="dxa"/>
            </w:tcMar>
            <w:vAlign w:val="bottom"/>
          </w:tcPr>
          <w:p w14:paraId="13E27BA4">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4AA3C0AA">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1.5 </w:t>
            </w:r>
          </w:p>
        </w:tc>
        <w:tc>
          <w:tcPr>
            <w:tcW w:w="1615" w:type="dxa"/>
            <w:tcMar>
              <w:top w:w="15" w:type="dxa"/>
              <w:left w:w="15" w:type="dxa"/>
              <w:right w:w="15" w:type="dxa"/>
            </w:tcMar>
            <w:vAlign w:val="center"/>
          </w:tcPr>
          <w:p w14:paraId="31866B1E">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-4.3 </w:t>
            </w:r>
          </w:p>
        </w:tc>
      </w:tr>
      <w:tr w14:paraId="68DBC87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0DAAA98D">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饮料</w:t>
            </w:r>
          </w:p>
        </w:tc>
        <w:tc>
          <w:tcPr>
            <w:tcW w:w="1228" w:type="dxa"/>
            <w:tcMar>
              <w:top w:w="15" w:type="dxa"/>
              <w:left w:w="15" w:type="dxa"/>
              <w:right w:w="15" w:type="dxa"/>
            </w:tcMar>
            <w:vAlign w:val="bottom"/>
          </w:tcPr>
          <w:p w14:paraId="611BD199">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190DA7DD">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1.4 </w:t>
            </w:r>
          </w:p>
        </w:tc>
        <w:tc>
          <w:tcPr>
            <w:tcW w:w="1615" w:type="dxa"/>
            <w:tcMar>
              <w:top w:w="15" w:type="dxa"/>
              <w:left w:w="15" w:type="dxa"/>
              <w:right w:w="15" w:type="dxa"/>
            </w:tcMar>
            <w:vAlign w:val="center"/>
          </w:tcPr>
          <w:p w14:paraId="03772B12">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-1.6 </w:t>
            </w:r>
          </w:p>
        </w:tc>
      </w:tr>
      <w:tr w14:paraId="3C73BC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7181CAA0">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印染布</w:t>
            </w:r>
          </w:p>
        </w:tc>
        <w:tc>
          <w:tcPr>
            <w:tcW w:w="1228" w:type="dxa"/>
            <w:tcMar>
              <w:top w:w="15" w:type="dxa"/>
              <w:left w:w="15" w:type="dxa"/>
              <w:right w:w="15" w:type="dxa"/>
            </w:tcMar>
            <w:vAlign w:val="bottom"/>
          </w:tcPr>
          <w:p w14:paraId="4389FA1A">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万米</w:t>
            </w:r>
          </w:p>
        </w:tc>
        <w:tc>
          <w:tcPr>
            <w:tcW w:w="1704" w:type="dxa"/>
            <w:tcMar>
              <w:top w:w="15" w:type="dxa"/>
              <w:left w:w="15" w:type="dxa"/>
              <w:right w:w="15" w:type="dxa"/>
            </w:tcMar>
            <w:vAlign w:val="center"/>
          </w:tcPr>
          <w:p w14:paraId="55F5949F">
            <w:pPr>
              <w:keepNext w:val="0"/>
              <w:keepLines w:val="0"/>
              <w:widowControl/>
              <w:suppressLineNumbers w:val="0"/>
              <w:jc w:val="center"/>
              <w:textAlignment w:val="bottom"/>
              <w:rPr>
                <w:rFonts w:hint="default"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1690</w:t>
            </w:r>
          </w:p>
        </w:tc>
        <w:tc>
          <w:tcPr>
            <w:tcW w:w="1615" w:type="dxa"/>
            <w:tcMar>
              <w:top w:w="15" w:type="dxa"/>
              <w:left w:w="15" w:type="dxa"/>
              <w:right w:w="15" w:type="dxa"/>
            </w:tcMar>
            <w:vAlign w:val="center"/>
          </w:tcPr>
          <w:p w14:paraId="245486B2">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-9.8 </w:t>
            </w:r>
          </w:p>
        </w:tc>
      </w:tr>
      <w:tr w14:paraId="77C18C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1BC65AE0">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硫酸（折100％）</w:t>
            </w:r>
          </w:p>
        </w:tc>
        <w:tc>
          <w:tcPr>
            <w:tcW w:w="1228" w:type="dxa"/>
            <w:tcMar>
              <w:top w:w="15" w:type="dxa"/>
              <w:left w:w="15" w:type="dxa"/>
              <w:right w:w="15" w:type="dxa"/>
            </w:tcMar>
            <w:vAlign w:val="bottom"/>
          </w:tcPr>
          <w:p w14:paraId="5D58AB0B">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2F79BD5D">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42.6 </w:t>
            </w:r>
          </w:p>
        </w:tc>
        <w:tc>
          <w:tcPr>
            <w:tcW w:w="1615" w:type="dxa"/>
            <w:tcMar>
              <w:top w:w="15" w:type="dxa"/>
              <w:left w:w="15" w:type="dxa"/>
              <w:right w:w="15" w:type="dxa"/>
            </w:tcMar>
            <w:vAlign w:val="center"/>
          </w:tcPr>
          <w:p w14:paraId="644C4FA9">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-18.3 </w:t>
            </w:r>
          </w:p>
        </w:tc>
      </w:tr>
      <w:tr w14:paraId="35ABFCC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40F8D08D">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盐酸（氯化氢，含量31％）</w:t>
            </w:r>
          </w:p>
        </w:tc>
        <w:tc>
          <w:tcPr>
            <w:tcW w:w="1228" w:type="dxa"/>
            <w:tcMar>
              <w:top w:w="15" w:type="dxa"/>
              <w:left w:w="15" w:type="dxa"/>
              <w:right w:w="15" w:type="dxa"/>
            </w:tcMar>
            <w:vAlign w:val="bottom"/>
          </w:tcPr>
          <w:p w14:paraId="1D5CE707">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0ADA7ACB">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7.6 </w:t>
            </w:r>
          </w:p>
        </w:tc>
        <w:tc>
          <w:tcPr>
            <w:tcW w:w="1615" w:type="dxa"/>
            <w:tcMar>
              <w:top w:w="15" w:type="dxa"/>
              <w:left w:w="15" w:type="dxa"/>
              <w:right w:w="15" w:type="dxa"/>
            </w:tcMar>
            <w:vAlign w:val="center"/>
          </w:tcPr>
          <w:p w14:paraId="76958304">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-22.5 </w:t>
            </w:r>
          </w:p>
        </w:tc>
      </w:tr>
      <w:tr w14:paraId="54E8376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7516A4F9">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烧碱（折100％）</w:t>
            </w:r>
          </w:p>
        </w:tc>
        <w:tc>
          <w:tcPr>
            <w:tcW w:w="1228" w:type="dxa"/>
            <w:tcMar>
              <w:top w:w="15" w:type="dxa"/>
              <w:left w:w="15" w:type="dxa"/>
              <w:right w:w="15" w:type="dxa"/>
            </w:tcMar>
            <w:vAlign w:val="bottom"/>
          </w:tcPr>
          <w:p w14:paraId="25E1BEF5">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53B4CE01">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19.8 </w:t>
            </w:r>
          </w:p>
        </w:tc>
        <w:tc>
          <w:tcPr>
            <w:tcW w:w="1615" w:type="dxa"/>
            <w:tcMar>
              <w:top w:w="15" w:type="dxa"/>
              <w:left w:w="15" w:type="dxa"/>
              <w:right w:w="15" w:type="dxa"/>
            </w:tcMar>
            <w:vAlign w:val="center"/>
          </w:tcPr>
          <w:p w14:paraId="31F1DC25">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-1.5 </w:t>
            </w:r>
          </w:p>
        </w:tc>
      </w:tr>
      <w:tr w14:paraId="2DA1F0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67CF2C0B">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稀土化合物</w:t>
            </w:r>
          </w:p>
        </w:tc>
        <w:tc>
          <w:tcPr>
            <w:tcW w:w="1228" w:type="dxa"/>
            <w:tcMar>
              <w:top w:w="15" w:type="dxa"/>
              <w:left w:w="15" w:type="dxa"/>
              <w:right w:w="15" w:type="dxa"/>
            </w:tcMar>
            <w:vAlign w:val="bottom"/>
          </w:tcPr>
          <w:p w14:paraId="35D1050B">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千克</w:t>
            </w:r>
          </w:p>
        </w:tc>
        <w:tc>
          <w:tcPr>
            <w:tcW w:w="1704" w:type="dxa"/>
            <w:tcMar>
              <w:top w:w="15" w:type="dxa"/>
              <w:left w:w="15" w:type="dxa"/>
              <w:right w:w="15" w:type="dxa"/>
            </w:tcMar>
            <w:vAlign w:val="center"/>
          </w:tcPr>
          <w:p w14:paraId="2AB0F9E0">
            <w:pPr>
              <w:keepNext w:val="0"/>
              <w:keepLines w:val="0"/>
              <w:widowControl/>
              <w:suppressLineNumbers w:val="0"/>
              <w:jc w:val="center"/>
              <w:textAlignment w:val="bottom"/>
              <w:rPr>
                <w:rFonts w:hint="default"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867103</w:t>
            </w:r>
          </w:p>
        </w:tc>
        <w:tc>
          <w:tcPr>
            <w:tcW w:w="1615" w:type="dxa"/>
            <w:tcMar>
              <w:top w:w="15" w:type="dxa"/>
              <w:left w:w="15" w:type="dxa"/>
              <w:right w:w="15" w:type="dxa"/>
            </w:tcMar>
            <w:vAlign w:val="center"/>
          </w:tcPr>
          <w:p w14:paraId="1BB4C183">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200.7 </w:t>
            </w:r>
          </w:p>
        </w:tc>
      </w:tr>
      <w:tr w14:paraId="042904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295C5C23">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涂料</w:t>
            </w:r>
          </w:p>
        </w:tc>
        <w:tc>
          <w:tcPr>
            <w:tcW w:w="1228" w:type="dxa"/>
            <w:tcMar>
              <w:top w:w="15" w:type="dxa"/>
              <w:left w:w="15" w:type="dxa"/>
              <w:right w:w="15" w:type="dxa"/>
            </w:tcMar>
            <w:vAlign w:val="bottom"/>
          </w:tcPr>
          <w:p w14:paraId="5F8A9A99">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00C132F4">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4.9 </w:t>
            </w:r>
          </w:p>
        </w:tc>
        <w:tc>
          <w:tcPr>
            <w:tcW w:w="1615" w:type="dxa"/>
            <w:tcMar>
              <w:top w:w="15" w:type="dxa"/>
              <w:left w:w="15" w:type="dxa"/>
              <w:right w:w="15" w:type="dxa"/>
            </w:tcMar>
            <w:vAlign w:val="center"/>
          </w:tcPr>
          <w:p w14:paraId="461AD22A">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14.9 </w:t>
            </w:r>
          </w:p>
        </w:tc>
      </w:tr>
      <w:tr w14:paraId="67EF0F7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6AC03669">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化学试剂</w:t>
            </w:r>
          </w:p>
        </w:tc>
        <w:tc>
          <w:tcPr>
            <w:tcW w:w="1228" w:type="dxa"/>
            <w:tcMar>
              <w:top w:w="15" w:type="dxa"/>
              <w:left w:w="15" w:type="dxa"/>
              <w:right w:w="15" w:type="dxa"/>
            </w:tcMar>
            <w:vAlign w:val="bottom"/>
          </w:tcPr>
          <w:p w14:paraId="28C04D96">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2713CDB3">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16.6 </w:t>
            </w:r>
          </w:p>
        </w:tc>
        <w:tc>
          <w:tcPr>
            <w:tcW w:w="1615" w:type="dxa"/>
            <w:tcMar>
              <w:top w:w="15" w:type="dxa"/>
              <w:left w:w="15" w:type="dxa"/>
              <w:right w:w="15" w:type="dxa"/>
            </w:tcMar>
            <w:vAlign w:val="center"/>
          </w:tcPr>
          <w:p w14:paraId="4B8B20DC">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13.1 </w:t>
            </w:r>
          </w:p>
        </w:tc>
      </w:tr>
      <w:tr w14:paraId="056166F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583D8334">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橡胶轮胎外胎</w:t>
            </w:r>
          </w:p>
        </w:tc>
        <w:tc>
          <w:tcPr>
            <w:tcW w:w="1228" w:type="dxa"/>
            <w:tcMar>
              <w:top w:w="15" w:type="dxa"/>
              <w:left w:w="15" w:type="dxa"/>
              <w:right w:w="15" w:type="dxa"/>
            </w:tcMar>
            <w:vAlign w:val="bottom"/>
          </w:tcPr>
          <w:p w14:paraId="4ACDFBD2">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万条</w:t>
            </w:r>
          </w:p>
        </w:tc>
        <w:tc>
          <w:tcPr>
            <w:tcW w:w="1704" w:type="dxa"/>
            <w:tcMar>
              <w:top w:w="15" w:type="dxa"/>
              <w:left w:w="15" w:type="dxa"/>
              <w:right w:w="15" w:type="dxa"/>
            </w:tcMar>
            <w:vAlign w:val="center"/>
          </w:tcPr>
          <w:p w14:paraId="247969E7">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216.2 </w:t>
            </w:r>
          </w:p>
        </w:tc>
        <w:tc>
          <w:tcPr>
            <w:tcW w:w="1615" w:type="dxa"/>
            <w:tcMar>
              <w:top w:w="15" w:type="dxa"/>
              <w:left w:w="15" w:type="dxa"/>
              <w:right w:w="15" w:type="dxa"/>
            </w:tcMar>
            <w:vAlign w:val="center"/>
          </w:tcPr>
          <w:p w14:paraId="6048F53C">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-6.1 </w:t>
            </w:r>
          </w:p>
        </w:tc>
      </w:tr>
      <w:tr w14:paraId="21D5A93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1307147F">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塑料制品</w:t>
            </w:r>
          </w:p>
        </w:tc>
        <w:tc>
          <w:tcPr>
            <w:tcW w:w="1228" w:type="dxa"/>
            <w:tcMar>
              <w:top w:w="15" w:type="dxa"/>
              <w:left w:w="15" w:type="dxa"/>
              <w:right w:w="15" w:type="dxa"/>
            </w:tcMar>
            <w:vAlign w:val="bottom"/>
          </w:tcPr>
          <w:p w14:paraId="0B408AD8">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7B884738">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0.7 </w:t>
            </w:r>
          </w:p>
        </w:tc>
        <w:tc>
          <w:tcPr>
            <w:tcW w:w="1615" w:type="dxa"/>
            <w:tcMar>
              <w:top w:w="15" w:type="dxa"/>
              <w:left w:w="15" w:type="dxa"/>
              <w:right w:w="15" w:type="dxa"/>
            </w:tcMar>
            <w:vAlign w:val="center"/>
          </w:tcPr>
          <w:p w14:paraId="228FA93A">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-4.5 </w:t>
            </w:r>
          </w:p>
        </w:tc>
      </w:tr>
      <w:tr w14:paraId="34DB1D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1153FCFE">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商品混凝土</w:t>
            </w:r>
          </w:p>
        </w:tc>
        <w:tc>
          <w:tcPr>
            <w:tcW w:w="1228" w:type="dxa"/>
            <w:tcMar>
              <w:top w:w="15" w:type="dxa"/>
              <w:left w:w="15" w:type="dxa"/>
              <w:right w:w="15" w:type="dxa"/>
            </w:tcMar>
            <w:vAlign w:val="bottom"/>
          </w:tcPr>
          <w:p w14:paraId="55AAC9C2">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万立方米</w:t>
            </w:r>
          </w:p>
        </w:tc>
        <w:tc>
          <w:tcPr>
            <w:tcW w:w="1704" w:type="dxa"/>
            <w:tcMar>
              <w:top w:w="15" w:type="dxa"/>
              <w:left w:w="15" w:type="dxa"/>
              <w:right w:w="15" w:type="dxa"/>
            </w:tcMar>
            <w:vAlign w:val="center"/>
          </w:tcPr>
          <w:p w14:paraId="01C7AF81">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27.4 </w:t>
            </w:r>
          </w:p>
        </w:tc>
        <w:tc>
          <w:tcPr>
            <w:tcW w:w="1615" w:type="dxa"/>
            <w:tcMar>
              <w:top w:w="15" w:type="dxa"/>
              <w:left w:w="15" w:type="dxa"/>
              <w:right w:w="15" w:type="dxa"/>
            </w:tcMar>
            <w:vAlign w:val="center"/>
          </w:tcPr>
          <w:p w14:paraId="0EBAAFFE">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-7.2 </w:t>
            </w:r>
          </w:p>
        </w:tc>
      </w:tr>
      <w:tr w14:paraId="002A75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4F4D4276">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砖</w:t>
            </w:r>
          </w:p>
        </w:tc>
        <w:tc>
          <w:tcPr>
            <w:tcW w:w="1228" w:type="dxa"/>
            <w:tcMar>
              <w:top w:w="15" w:type="dxa"/>
              <w:left w:w="15" w:type="dxa"/>
              <w:right w:w="15" w:type="dxa"/>
            </w:tcMar>
            <w:vAlign w:val="bottom"/>
          </w:tcPr>
          <w:p w14:paraId="311EA852">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万块</w:t>
            </w:r>
          </w:p>
        </w:tc>
        <w:tc>
          <w:tcPr>
            <w:tcW w:w="1704" w:type="dxa"/>
            <w:tcMar>
              <w:top w:w="15" w:type="dxa"/>
              <w:left w:w="15" w:type="dxa"/>
              <w:right w:w="15" w:type="dxa"/>
            </w:tcMar>
            <w:vAlign w:val="center"/>
          </w:tcPr>
          <w:p w14:paraId="573E7AF8">
            <w:pPr>
              <w:keepNext w:val="0"/>
              <w:keepLines w:val="0"/>
              <w:widowControl/>
              <w:suppressLineNumbers w:val="0"/>
              <w:jc w:val="center"/>
              <w:textAlignment w:val="bottom"/>
              <w:rPr>
                <w:rFonts w:hint="default"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97</w:t>
            </w:r>
          </w:p>
        </w:tc>
        <w:tc>
          <w:tcPr>
            <w:tcW w:w="1615" w:type="dxa"/>
            <w:tcMar>
              <w:top w:w="15" w:type="dxa"/>
              <w:left w:w="15" w:type="dxa"/>
              <w:right w:w="15" w:type="dxa"/>
            </w:tcMar>
            <w:vAlign w:val="center"/>
          </w:tcPr>
          <w:p w14:paraId="71C7A730">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10.2 </w:t>
            </w:r>
          </w:p>
        </w:tc>
      </w:tr>
      <w:tr w14:paraId="692106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58B768BE">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耐火材料制品</w:t>
            </w:r>
          </w:p>
        </w:tc>
        <w:tc>
          <w:tcPr>
            <w:tcW w:w="1228" w:type="dxa"/>
            <w:tcMar>
              <w:top w:w="15" w:type="dxa"/>
              <w:left w:w="15" w:type="dxa"/>
              <w:right w:w="15" w:type="dxa"/>
            </w:tcMar>
            <w:vAlign w:val="bottom"/>
          </w:tcPr>
          <w:p w14:paraId="57B7F65B">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4097FABA">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40.2 </w:t>
            </w:r>
          </w:p>
        </w:tc>
        <w:tc>
          <w:tcPr>
            <w:tcW w:w="1615" w:type="dxa"/>
            <w:tcMar>
              <w:top w:w="15" w:type="dxa"/>
              <w:left w:w="15" w:type="dxa"/>
              <w:right w:w="15" w:type="dxa"/>
            </w:tcMar>
            <w:vAlign w:val="center"/>
          </w:tcPr>
          <w:p w14:paraId="0493BCE1">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-0.3 </w:t>
            </w:r>
          </w:p>
        </w:tc>
      </w:tr>
      <w:tr w14:paraId="08BF040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0D096216">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石墨及碳素制品</w:t>
            </w:r>
          </w:p>
        </w:tc>
        <w:tc>
          <w:tcPr>
            <w:tcW w:w="1228" w:type="dxa"/>
            <w:tcMar>
              <w:top w:w="15" w:type="dxa"/>
              <w:left w:w="15" w:type="dxa"/>
              <w:right w:w="15" w:type="dxa"/>
            </w:tcMar>
            <w:vAlign w:val="bottom"/>
          </w:tcPr>
          <w:p w14:paraId="09864F23">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655BAA25">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3.6 </w:t>
            </w:r>
          </w:p>
        </w:tc>
        <w:tc>
          <w:tcPr>
            <w:tcW w:w="1615" w:type="dxa"/>
            <w:tcMar>
              <w:top w:w="15" w:type="dxa"/>
              <w:left w:w="15" w:type="dxa"/>
              <w:right w:w="15" w:type="dxa"/>
            </w:tcMar>
            <w:vAlign w:val="center"/>
          </w:tcPr>
          <w:p w14:paraId="1A7B400A">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-5.4 </w:t>
            </w:r>
          </w:p>
        </w:tc>
      </w:tr>
      <w:tr w14:paraId="74DBDD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7E6DF7EA">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铝合金</w:t>
            </w:r>
          </w:p>
        </w:tc>
        <w:tc>
          <w:tcPr>
            <w:tcW w:w="1228" w:type="dxa"/>
            <w:tcMar>
              <w:top w:w="15" w:type="dxa"/>
              <w:left w:w="15" w:type="dxa"/>
              <w:right w:w="15" w:type="dxa"/>
            </w:tcMar>
            <w:vAlign w:val="bottom"/>
          </w:tcPr>
          <w:p w14:paraId="0B0B0E86">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万吨</w:t>
            </w:r>
          </w:p>
        </w:tc>
        <w:tc>
          <w:tcPr>
            <w:tcW w:w="1704" w:type="dxa"/>
            <w:tcMar>
              <w:top w:w="15" w:type="dxa"/>
              <w:left w:w="15" w:type="dxa"/>
              <w:right w:w="15" w:type="dxa"/>
            </w:tcMar>
            <w:vAlign w:val="center"/>
          </w:tcPr>
          <w:p w14:paraId="6260C03D">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5.8 </w:t>
            </w:r>
          </w:p>
        </w:tc>
        <w:tc>
          <w:tcPr>
            <w:tcW w:w="1615" w:type="dxa"/>
            <w:tcMar>
              <w:top w:w="15" w:type="dxa"/>
              <w:left w:w="15" w:type="dxa"/>
              <w:right w:w="15" w:type="dxa"/>
            </w:tcMar>
            <w:vAlign w:val="center"/>
          </w:tcPr>
          <w:p w14:paraId="4F42882D">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2.0 </w:t>
            </w:r>
          </w:p>
        </w:tc>
      </w:tr>
      <w:tr w14:paraId="218A734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Mar>
              <w:top w:w="15" w:type="dxa"/>
              <w:left w:w="15" w:type="dxa"/>
              <w:right w:w="15" w:type="dxa"/>
            </w:tcMar>
            <w:vAlign w:val="center"/>
          </w:tcPr>
          <w:p w14:paraId="045898B4">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改装汽车</w:t>
            </w:r>
          </w:p>
        </w:tc>
        <w:tc>
          <w:tcPr>
            <w:tcW w:w="1228" w:type="dxa"/>
            <w:tcMar>
              <w:top w:w="15" w:type="dxa"/>
              <w:left w:w="15" w:type="dxa"/>
              <w:right w:w="15" w:type="dxa"/>
            </w:tcMar>
            <w:vAlign w:val="bottom"/>
          </w:tcPr>
          <w:p w14:paraId="4E43AEF1">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辆</w:t>
            </w:r>
          </w:p>
        </w:tc>
        <w:tc>
          <w:tcPr>
            <w:tcW w:w="1704" w:type="dxa"/>
            <w:tcMar>
              <w:top w:w="15" w:type="dxa"/>
              <w:left w:w="15" w:type="dxa"/>
              <w:right w:w="15" w:type="dxa"/>
            </w:tcMar>
            <w:vAlign w:val="center"/>
          </w:tcPr>
          <w:p w14:paraId="32182857">
            <w:pPr>
              <w:keepNext w:val="0"/>
              <w:keepLines w:val="0"/>
              <w:widowControl/>
              <w:suppressLineNumbers w:val="0"/>
              <w:jc w:val="center"/>
              <w:textAlignment w:val="bottom"/>
              <w:rPr>
                <w:rFonts w:hint="default"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324</w:t>
            </w:r>
          </w:p>
        </w:tc>
        <w:tc>
          <w:tcPr>
            <w:tcW w:w="1615" w:type="dxa"/>
            <w:tcMar>
              <w:top w:w="15" w:type="dxa"/>
              <w:left w:w="15" w:type="dxa"/>
              <w:right w:w="15" w:type="dxa"/>
            </w:tcMar>
            <w:vAlign w:val="center"/>
          </w:tcPr>
          <w:p w14:paraId="5C0EB58E">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-33.9 </w:t>
            </w:r>
          </w:p>
        </w:tc>
      </w:tr>
      <w:tr w14:paraId="5AAF30F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3786" w:type="dxa"/>
            <w:tcBorders>
              <w:bottom w:val="single" w:color="auto" w:sz="4" w:space="0"/>
            </w:tcBorders>
            <w:tcMar>
              <w:top w:w="15" w:type="dxa"/>
              <w:left w:w="15" w:type="dxa"/>
              <w:right w:w="15" w:type="dxa"/>
            </w:tcMar>
            <w:vAlign w:val="center"/>
          </w:tcPr>
          <w:p w14:paraId="1DE1AFEB">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锂离子电池</w:t>
            </w:r>
          </w:p>
        </w:tc>
        <w:tc>
          <w:tcPr>
            <w:tcW w:w="1228" w:type="dxa"/>
            <w:tcBorders>
              <w:bottom w:val="single" w:color="auto" w:sz="4" w:space="0"/>
            </w:tcBorders>
            <w:tcMar>
              <w:top w:w="15" w:type="dxa"/>
              <w:left w:w="15" w:type="dxa"/>
              <w:right w:w="15" w:type="dxa"/>
            </w:tcMar>
            <w:vAlign w:val="bottom"/>
          </w:tcPr>
          <w:p w14:paraId="33801474">
            <w:pPr>
              <w:keepNext w:val="0"/>
              <w:keepLines w:val="0"/>
              <w:widowControl/>
              <w:suppressLineNumbers w:val="0"/>
              <w:jc w:val="center"/>
              <w:textAlignment w:val="bottom"/>
              <w:rPr>
                <w:rFonts w:hint="default"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万只</w:t>
            </w:r>
          </w:p>
        </w:tc>
        <w:tc>
          <w:tcPr>
            <w:tcW w:w="1704" w:type="dxa"/>
            <w:tcBorders>
              <w:bottom w:val="single" w:color="auto" w:sz="4" w:space="0"/>
            </w:tcBorders>
            <w:tcMar>
              <w:top w:w="15" w:type="dxa"/>
              <w:left w:w="15" w:type="dxa"/>
              <w:right w:w="15" w:type="dxa"/>
            </w:tcMar>
            <w:vAlign w:val="center"/>
          </w:tcPr>
          <w:p w14:paraId="57976150">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612.3 </w:t>
            </w:r>
          </w:p>
        </w:tc>
        <w:tc>
          <w:tcPr>
            <w:tcW w:w="1615" w:type="dxa"/>
            <w:tcBorders>
              <w:bottom w:val="single" w:color="auto" w:sz="4" w:space="0"/>
            </w:tcBorders>
            <w:tcMar>
              <w:top w:w="15" w:type="dxa"/>
              <w:left w:w="15" w:type="dxa"/>
              <w:right w:w="15" w:type="dxa"/>
            </w:tcMar>
            <w:vAlign w:val="center"/>
          </w:tcPr>
          <w:p w14:paraId="037DE0EF">
            <w:pPr>
              <w:keepNext w:val="0"/>
              <w:keepLines w:val="0"/>
              <w:widowControl/>
              <w:suppressLineNumbers w:val="0"/>
              <w:jc w:val="center"/>
              <w:textAlignment w:val="bottom"/>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pPr>
            <w:r>
              <w:rPr>
                <w:rFonts w:hint="eastAsia" w:ascii="仿宋" w:hAnsi="仿宋" w:eastAsia="仿宋" w:cs="仿宋"/>
                <w:b w:val="0"/>
                <w:bCs w:val="0"/>
                <w:i w:val="0"/>
                <w:color w:val="000000" w:themeColor="text1"/>
                <w:kern w:val="0"/>
                <w:sz w:val="24"/>
                <w:szCs w:val="24"/>
                <w:u w:val="none"/>
                <w:lang w:val="en-US" w:eastAsia="zh-CN" w:bidi="ar"/>
                <w14:textFill>
                  <w14:solidFill>
                    <w14:schemeClr w14:val="tx1"/>
                  </w14:solidFill>
                </w14:textFill>
              </w:rPr>
              <w:t xml:space="preserve">-53.7 </w:t>
            </w:r>
          </w:p>
        </w:tc>
      </w:tr>
    </w:tbl>
    <w:p w14:paraId="176188DE">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全年全区</w:t>
      </w:r>
      <w:r>
        <w:rPr>
          <w:rFonts w:hint="eastAsia" w:ascii="仿宋" w:hAnsi="仿宋" w:eastAsia="仿宋" w:cs="仿宋"/>
          <w:color w:val="000000" w:themeColor="text1"/>
          <w:sz w:val="32"/>
          <w:szCs w:val="32"/>
          <w:lang w:val="en-US" w:eastAsia="zh-CN"/>
          <w14:textFill>
            <w14:solidFill>
              <w14:schemeClr w14:val="tx1"/>
            </w14:solidFill>
          </w14:textFill>
        </w:rPr>
        <w:t>资质内建筑业企业25个，</w:t>
      </w:r>
      <w:r>
        <w:rPr>
          <w:rFonts w:hint="eastAsia" w:ascii="仿宋" w:hAnsi="仿宋" w:eastAsia="仿宋" w:cs="仿宋"/>
          <w:color w:val="000000" w:themeColor="text1"/>
          <w:sz w:val="32"/>
          <w:szCs w:val="32"/>
          <w14:textFill>
            <w14:solidFill>
              <w14:schemeClr w14:val="tx1"/>
            </w14:solidFill>
          </w14:textFill>
        </w:rPr>
        <w:t>总产值比上年增长</w:t>
      </w:r>
      <w:r>
        <w:rPr>
          <w:rFonts w:hint="eastAsia" w:ascii="仿宋" w:hAnsi="仿宋" w:eastAsia="仿宋" w:cs="仿宋"/>
          <w:color w:val="000000" w:themeColor="text1"/>
          <w:sz w:val="32"/>
          <w:szCs w:val="32"/>
          <w:lang w:val="en-US" w:eastAsia="zh-CN"/>
          <w14:textFill>
            <w14:solidFill>
              <w14:schemeClr w14:val="tx1"/>
            </w14:solidFill>
          </w14:textFill>
        </w:rPr>
        <w:t>23.9</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14:paraId="25D8F72E">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、固定资产投资</w:t>
      </w:r>
    </w:p>
    <w:p w14:paraId="3F28167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FF0000"/>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全年</w:t>
      </w:r>
      <w:r>
        <w:rPr>
          <w:rFonts w:hint="eastAsia" w:ascii="仿宋" w:hAnsi="仿宋" w:eastAsia="仿宋" w:cs="仿宋"/>
          <w:color w:val="000000" w:themeColor="text1"/>
          <w:sz w:val="32"/>
          <w:szCs w:val="32"/>
          <w:lang w:eastAsia="zh-CN"/>
          <w14:textFill>
            <w14:solidFill>
              <w14:schemeClr w14:val="tx1"/>
            </w14:solidFill>
          </w14:textFill>
        </w:rPr>
        <w:t>全区</w:t>
      </w:r>
      <w:r>
        <w:rPr>
          <w:rFonts w:hint="eastAsia" w:ascii="仿宋" w:hAnsi="仿宋" w:eastAsia="仿宋" w:cs="仿宋"/>
          <w:color w:val="000000" w:themeColor="text1"/>
          <w:sz w:val="32"/>
          <w:szCs w:val="32"/>
          <w14:textFill>
            <w14:solidFill>
              <w14:schemeClr w14:val="tx1"/>
            </w14:solidFill>
          </w14:textFill>
        </w:rPr>
        <w:t>固定资产投资（不含农户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下同</w:t>
      </w:r>
      <w:r>
        <w:rPr>
          <w:rFonts w:hint="eastAsia" w:ascii="仿宋" w:hAnsi="仿宋" w:eastAsia="仿宋" w:cs="仿宋"/>
          <w:color w:val="000000" w:themeColor="text1"/>
          <w:sz w:val="32"/>
          <w:szCs w:val="32"/>
          <w14:textFill>
            <w14:solidFill>
              <w14:schemeClr w14:val="tx1"/>
            </w14:solidFill>
          </w14:textFill>
        </w:rPr>
        <w:t>）比上年增长</w:t>
      </w:r>
      <w:r>
        <w:rPr>
          <w:rFonts w:hint="eastAsia" w:ascii="仿宋" w:hAnsi="仿宋" w:eastAsia="仿宋" w:cs="仿宋"/>
          <w:color w:val="000000" w:themeColor="text1"/>
          <w:sz w:val="32"/>
          <w:szCs w:val="32"/>
          <w:lang w:val="en-US" w:eastAsia="zh-CN"/>
          <w14:textFill>
            <w14:solidFill>
              <w14:schemeClr w14:val="tx1"/>
            </w14:solidFill>
          </w14:textFill>
        </w:rPr>
        <w:t>13.7</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。工业投资比上年增长19.5%，占固定资产投资88%；民间投资比上年下降</w:t>
      </w:r>
      <w:r>
        <w:rPr>
          <w:rFonts w:hint="eastAsia" w:ascii="仿宋" w:hAnsi="仿宋" w:eastAsia="仿宋" w:cs="仿宋"/>
          <w:color w:val="000000" w:themeColor="text1"/>
          <w:sz w:val="32"/>
          <w:szCs w:val="32"/>
          <w:lang w:val="en-US" w:eastAsia="zh-CN"/>
          <w14:textFill>
            <w14:solidFill>
              <w14:schemeClr w14:val="tx1"/>
            </w14:solidFill>
          </w14:textFill>
        </w:rPr>
        <w:t>5.2</w:t>
      </w:r>
      <w:r>
        <w:rPr>
          <w:rFonts w:hint="eastAsia" w:ascii="仿宋" w:hAnsi="仿宋" w:eastAsia="仿宋" w:cs="仿宋"/>
          <w:color w:val="000000" w:themeColor="text1"/>
          <w:sz w:val="32"/>
          <w:szCs w:val="32"/>
          <w:lang w:eastAsia="zh-CN"/>
          <w14:textFill>
            <w14:solidFill>
              <w14:schemeClr w14:val="tx1"/>
            </w14:solidFill>
          </w14:textFill>
        </w:rPr>
        <w:t>%，占固定资产投资73%；房地产开发投资比上年</w:t>
      </w:r>
      <w:r>
        <w:rPr>
          <w:rFonts w:hint="eastAsia" w:ascii="仿宋" w:hAnsi="仿宋" w:eastAsia="仿宋" w:cs="仿宋"/>
          <w:color w:val="000000" w:themeColor="text1"/>
          <w:sz w:val="32"/>
          <w:szCs w:val="32"/>
          <w:lang w:val="en-US" w:eastAsia="zh-CN"/>
          <w14:textFill>
            <w14:solidFill>
              <w14:schemeClr w14:val="tx1"/>
            </w14:solidFill>
          </w14:textFill>
        </w:rPr>
        <w:t>增长5.6</w:t>
      </w:r>
      <w:r>
        <w:rPr>
          <w:rFonts w:hint="eastAsia" w:ascii="仿宋" w:hAnsi="仿宋" w:eastAsia="仿宋" w:cs="仿宋"/>
          <w:color w:val="000000" w:themeColor="text1"/>
          <w:sz w:val="32"/>
          <w:szCs w:val="32"/>
          <w:lang w:eastAsia="zh-CN"/>
          <w14:textFill>
            <w14:solidFill>
              <w14:schemeClr w14:val="tx1"/>
            </w14:solidFill>
          </w14:textFill>
        </w:rPr>
        <w:t>%，占固定资产投资5.5%。</w:t>
      </w:r>
    </w:p>
    <w:p w14:paraId="0C2297B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年全区亿元及以上固定资产投资项目27个。全区亿元以上项目建设活动持续推进，焦作市盛达投资发展有限公司焦作市西部商砼产业园项目、河南中源钛业有限公司年产6万吨钛合金新材料项目、风神轮胎股份有限公司巨型及特种工程子午胎改扩建项目相继开工建设；河南佰利新能源材料有限公司年产20万吨电池材料级磷酸铁项目、河南三木表层材料工业园有限公司年产30万吨合成树脂系列产品及年产5万吨苯酐产品项目等项目加速推进；多氟多新材料股份有限公司高纯品体六氟磷酸锂项目、河南长隆科技有限公司年产10万吨锆酸钠项目、焦作伴侣纳米材料工程有限公司年产8000吨高容量锂离子电池正极材料项目等项目相继建成投产。</w:t>
      </w:r>
    </w:p>
    <w:p w14:paraId="56C81872">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五</w:t>
      </w:r>
      <w:r>
        <w:rPr>
          <w:rFonts w:hint="eastAsia" w:ascii="仿宋" w:hAnsi="仿宋" w:eastAsia="仿宋" w:cs="仿宋"/>
          <w:b/>
          <w:bCs w:val="0"/>
          <w:color w:val="000000" w:themeColor="text1"/>
          <w:sz w:val="32"/>
          <w:szCs w:val="32"/>
          <w:lang w:eastAsia="zh-CN"/>
          <w14:textFill>
            <w14:solidFill>
              <w14:schemeClr w14:val="tx1"/>
            </w14:solidFill>
          </w14:textFill>
        </w:rPr>
        <w:t>、</w:t>
      </w:r>
      <w:r>
        <w:rPr>
          <w:rFonts w:hint="eastAsia" w:ascii="仿宋" w:hAnsi="仿宋" w:eastAsia="仿宋" w:cs="仿宋"/>
          <w:b/>
          <w:bCs w:val="0"/>
          <w:color w:val="000000" w:themeColor="text1"/>
          <w:sz w:val="32"/>
          <w:szCs w:val="32"/>
          <w14:textFill>
            <w14:solidFill>
              <w14:schemeClr w14:val="tx1"/>
            </w14:solidFill>
          </w14:textFill>
        </w:rPr>
        <w:t>国内贸易</w:t>
      </w:r>
    </w:p>
    <w:p w14:paraId="588367A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年全区社会消费品零售总额完成33.1亿元，比上年增长7.6%。全区限额以上销售额达到53亿元，比上年增长2.2%，按分行业统计，批发业28.2亿元，比上年下降2.7%；零售业23.5亿元，比上年增长8.4%；住宿业0.03亿元，比上年增长13.5%；餐饮业1.5亿元，比上年增长7.9%。</w:t>
      </w:r>
    </w:p>
    <w:p w14:paraId="0CE3818F">
      <w:pPr>
        <w:keepNext w:val="0"/>
        <w:keepLines w:val="0"/>
        <w:pageBreakBefore w:val="0"/>
        <w:widowControl/>
        <w:kinsoku/>
        <w:wordWrap/>
        <w:overflowPunct/>
        <w:topLinePunct w:val="0"/>
        <w:autoSpaceDE/>
        <w:bidi w:val="0"/>
        <w:snapToGrid/>
        <w:spacing w:line="560" w:lineRule="exact"/>
        <w:ind w:left="0" w:firstLine="420" w:firstLineChars="200"/>
        <w:jc w:val="both"/>
        <w:rPr>
          <w:rFonts w:hint="eastAsia" w:ascii="仿宋" w:hAnsi="仿宋" w:eastAsia="仿宋" w:cs="宋体"/>
          <w:color w:val="FF0000"/>
          <w:kern w:val="0"/>
          <w:sz w:val="32"/>
          <w:szCs w:val="32"/>
        </w:rPr>
      </w:pPr>
      <w:r>
        <w:drawing>
          <wp:anchor distT="0" distB="0" distL="114300" distR="114300" simplePos="0" relativeHeight="251661312" behindDoc="0" locked="0" layoutInCell="1" allowOverlap="1">
            <wp:simplePos x="0" y="0"/>
            <wp:positionH relativeFrom="column">
              <wp:posOffset>37465</wp:posOffset>
            </wp:positionH>
            <wp:positionV relativeFrom="paragraph">
              <wp:posOffset>235585</wp:posOffset>
            </wp:positionV>
            <wp:extent cx="5274310" cy="2770505"/>
            <wp:effectExtent l="4445" t="4445" r="17145" b="635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6CBFB17">
      <w:pPr>
        <w:pStyle w:val="3"/>
        <w:ind w:left="0" w:leftChars="0" w:firstLine="0" w:firstLineChars="0"/>
        <w:rPr>
          <w:rFonts w:hint="eastAsia" w:ascii="仿宋" w:hAnsi="仿宋" w:eastAsia="仿宋" w:cs="宋体"/>
          <w:color w:val="FF0000"/>
          <w:kern w:val="0"/>
          <w:sz w:val="32"/>
          <w:szCs w:val="32"/>
        </w:rPr>
      </w:pPr>
    </w:p>
    <w:p w14:paraId="322E4D43">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FF0000"/>
          <w:kern w:val="0"/>
          <w:sz w:val="32"/>
          <w:szCs w:val="32"/>
          <w:lang w:val="en-US" w:eastAsia="zh-CN" w:bidi="ar-SA"/>
        </w:rPr>
      </w:pPr>
    </w:p>
    <w:p w14:paraId="16F14AC0">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FF0000"/>
          <w:kern w:val="0"/>
          <w:sz w:val="32"/>
          <w:szCs w:val="32"/>
          <w:lang w:val="en-US" w:eastAsia="zh-CN" w:bidi="ar-SA"/>
        </w:rPr>
      </w:pPr>
    </w:p>
    <w:p w14:paraId="4D8674E4">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FF0000"/>
          <w:kern w:val="0"/>
          <w:sz w:val="32"/>
          <w:szCs w:val="32"/>
          <w:lang w:val="en-US" w:eastAsia="zh-CN" w:bidi="ar-SA"/>
        </w:rPr>
      </w:pPr>
    </w:p>
    <w:p w14:paraId="17D89B57">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FF0000"/>
          <w:kern w:val="0"/>
          <w:sz w:val="32"/>
          <w:szCs w:val="32"/>
          <w:lang w:val="en-US" w:eastAsia="zh-CN" w:bidi="ar-SA"/>
        </w:rPr>
      </w:pPr>
    </w:p>
    <w:p w14:paraId="346564E7">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FF0000"/>
          <w:kern w:val="0"/>
          <w:sz w:val="32"/>
          <w:szCs w:val="32"/>
          <w:lang w:val="en-US" w:eastAsia="zh-CN" w:bidi="ar-SA"/>
        </w:rPr>
      </w:pPr>
    </w:p>
    <w:p w14:paraId="7C8655F6">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FF0000"/>
          <w:kern w:val="0"/>
          <w:sz w:val="32"/>
          <w:szCs w:val="32"/>
          <w:lang w:val="en-US" w:eastAsia="zh-CN" w:bidi="ar-SA"/>
        </w:rPr>
      </w:pPr>
    </w:p>
    <w:p w14:paraId="32B4BAE1">
      <w:pPr>
        <w:pStyle w:val="7"/>
        <w:keepNext w:val="0"/>
        <w:keepLines w:val="0"/>
        <w:pageBreakBefore w:val="0"/>
        <w:widowControl/>
        <w:kinsoku/>
        <w:wordWrap/>
        <w:overflowPunct/>
        <w:topLinePunct w:val="0"/>
        <w:autoSpaceDE/>
        <w:autoSpaceDN/>
        <w:bidi w:val="0"/>
        <w:adjustRightInd/>
        <w:snapToGrid/>
        <w:spacing w:line="560" w:lineRule="exact"/>
        <w:jc w:val="both"/>
        <w:rPr>
          <w:rFonts w:hint="eastAsia" w:ascii="仿宋" w:hAnsi="仿宋" w:eastAsia="仿宋" w:cs="宋体"/>
          <w:color w:val="FF0000"/>
          <w:kern w:val="0"/>
          <w:sz w:val="32"/>
          <w:szCs w:val="32"/>
          <w:lang w:val="en-US" w:eastAsia="zh-CN" w:bidi="ar-SA"/>
        </w:rPr>
      </w:pPr>
    </w:p>
    <w:p w14:paraId="0C9BE63F">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000000" w:themeColor="text1"/>
          <w:kern w:val="0"/>
          <w:sz w:val="32"/>
          <w:szCs w:val="32"/>
          <w:lang w:val="en-US" w:eastAsia="zh-CN" w:bidi="ar-SA"/>
          <w14:textFill>
            <w14:solidFill>
              <w14:schemeClr w14:val="tx1"/>
            </w14:solidFill>
          </w14:textFill>
        </w:rPr>
      </w:pPr>
      <w:r>
        <w:rPr>
          <w:rFonts w:hint="eastAsia" w:ascii="仿宋" w:hAnsi="仿宋" w:eastAsia="仿宋" w:cs="宋体"/>
          <w:color w:val="000000" w:themeColor="text1"/>
          <w:kern w:val="0"/>
          <w:sz w:val="32"/>
          <w:szCs w:val="32"/>
          <w:lang w:val="en-US" w:eastAsia="zh-CN" w:bidi="ar-SA"/>
          <w14:textFill>
            <w14:solidFill>
              <w14:schemeClr w14:val="tx1"/>
            </w14:solidFill>
          </w14:textFill>
        </w:rPr>
        <w:t>全年全区限额以上单位消费品零售额中，粮油食品类零售额比上年增长48.4%，饮料类增长25%，烟酒类增长43.1%，服装、鞋帽、针纺织品类增长51.3%，日用品类下降2.9%，石油及制品类增长43.9%，汽车类增长8.7%。</w:t>
      </w:r>
    </w:p>
    <w:p w14:paraId="429F0EDD">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六</w:t>
      </w:r>
      <w:r>
        <w:rPr>
          <w:rFonts w:hint="eastAsia" w:ascii="仿宋" w:hAnsi="仿宋" w:eastAsia="仿宋" w:cs="仿宋"/>
          <w:b/>
          <w:color w:val="000000" w:themeColor="text1"/>
          <w:sz w:val="32"/>
          <w:szCs w:val="32"/>
          <w14:textFill>
            <w14:solidFill>
              <w14:schemeClr w14:val="tx1"/>
            </w14:solidFill>
          </w14:textFill>
        </w:rPr>
        <w:t>、对外经济</w:t>
      </w:r>
    </w:p>
    <w:p w14:paraId="076835EF">
      <w:pPr>
        <w:keepNext w:val="0"/>
        <w:keepLines w:val="0"/>
        <w:pageBreakBefore w:val="0"/>
        <w:kinsoku/>
        <w:wordWrap/>
        <w:overflowPunct/>
        <w:topLinePunct w:val="0"/>
        <w:autoSpaceDE/>
        <w:autoSpaceDN/>
        <w:bidi w:val="0"/>
        <w:adjustRightInd/>
        <w:snapToGrid/>
        <w:spacing w:line="560" w:lineRule="exact"/>
        <w:ind w:firstLine="633" w:firstLineChars="198"/>
        <w:jc w:val="both"/>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全年全区货物贸易进出口总额81.46亿元，同比增长13.6%。其中出口额70.19亿元，同比增长15.5%，进口额11.27亿元，同比增长3.2%。全年全区实际使用外资1000万美元。</w:t>
      </w:r>
    </w:p>
    <w:p w14:paraId="107F8AB3">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七</w:t>
      </w:r>
      <w:r>
        <w:rPr>
          <w:rFonts w:hint="eastAsia" w:ascii="仿宋" w:hAnsi="仿宋" w:eastAsia="仿宋" w:cs="仿宋"/>
          <w:b/>
          <w:color w:val="000000" w:themeColor="text1"/>
          <w:sz w:val="32"/>
          <w:szCs w:val="32"/>
          <w:lang w:eastAsia="zh-CN"/>
          <w14:textFill>
            <w14:solidFill>
              <w14:schemeClr w14:val="tx1"/>
            </w14:solidFill>
          </w14:textFill>
        </w:rPr>
        <w:t>、财政金融</w:t>
      </w:r>
    </w:p>
    <w:p w14:paraId="265B79B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FF0000"/>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全年</w:t>
      </w:r>
      <w:r>
        <w:rPr>
          <w:rFonts w:hint="eastAsia" w:ascii="仿宋" w:hAnsi="仿宋" w:eastAsia="仿宋" w:cs="仿宋"/>
          <w:color w:val="000000" w:themeColor="text1"/>
          <w:kern w:val="0"/>
          <w:sz w:val="32"/>
          <w:szCs w:val="32"/>
          <w:lang w:eastAsia="zh-CN"/>
          <w14:textFill>
            <w14:solidFill>
              <w14:schemeClr w14:val="tx1"/>
            </w14:solidFill>
          </w14:textFill>
        </w:rPr>
        <w:t>全区</w:t>
      </w:r>
      <w:r>
        <w:rPr>
          <w:rFonts w:hint="eastAsia" w:ascii="仿宋" w:hAnsi="仿宋" w:eastAsia="仿宋" w:cs="仿宋"/>
          <w:color w:val="000000" w:themeColor="text1"/>
          <w:kern w:val="0"/>
          <w:sz w:val="32"/>
          <w:szCs w:val="32"/>
          <w:lang w:val="en-US" w:eastAsia="zh-CN"/>
          <w14:textFill>
            <w14:solidFill>
              <w14:schemeClr w14:val="tx1"/>
            </w14:solidFill>
          </w14:textFill>
        </w:rPr>
        <w:t>一般</w:t>
      </w:r>
      <w:r>
        <w:rPr>
          <w:rFonts w:hint="eastAsia" w:ascii="仿宋" w:hAnsi="仿宋" w:eastAsia="仿宋" w:cs="仿宋"/>
          <w:color w:val="000000" w:themeColor="text1"/>
          <w:kern w:val="0"/>
          <w:sz w:val="32"/>
          <w:szCs w:val="32"/>
          <w14:textFill>
            <w14:solidFill>
              <w14:schemeClr w14:val="tx1"/>
            </w14:solidFill>
          </w14:textFill>
        </w:rPr>
        <w:t>公共预算收入</w:t>
      </w:r>
      <w:r>
        <w:rPr>
          <w:rFonts w:hint="eastAsia" w:ascii="仿宋" w:hAnsi="仿宋" w:eastAsia="仿宋" w:cs="仿宋"/>
          <w:color w:val="000000" w:themeColor="text1"/>
          <w:kern w:val="0"/>
          <w:sz w:val="32"/>
          <w:szCs w:val="32"/>
          <w:lang w:val="en-US" w:eastAsia="zh-CN"/>
          <w14:textFill>
            <w14:solidFill>
              <w14:schemeClr w14:val="tx1"/>
            </w14:solidFill>
          </w14:textFill>
        </w:rPr>
        <w:t>12.6亿</w:t>
      </w:r>
      <w:r>
        <w:rPr>
          <w:rFonts w:hint="eastAsia" w:ascii="仿宋" w:hAnsi="仿宋" w:eastAsia="仿宋" w:cs="仿宋"/>
          <w:color w:val="000000" w:themeColor="text1"/>
          <w:kern w:val="0"/>
          <w:sz w:val="32"/>
          <w:szCs w:val="32"/>
          <w14:textFill>
            <w14:solidFill>
              <w14:schemeClr w14:val="tx1"/>
            </w14:solidFill>
          </w14:textFill>
        </w:rPr>
        <w:t>元，</w:t>
      </w:r>
      <w:r>
        <w:rPr>
          <w:rFonts w:hint="eastAsia" w:ascii="仿宋" w:hAnsi="仿宋" w:eastAsia="仿宋" w:cs="仿宋"/>
          <w:color w:val="000000" w:themeColor="text1"/>
          <w:kern w:val="0"/>
          <w:sz w:val="32"/>
          <w:szCs w:val="32"/>
          <w:lang w:val="en-US" w:eastAsia="zh-CN"/>
          <w14:textFill>
            <w14:solidFill>
              <w14:schemeClr w14:val="tx1"/>
            </w14:solidFill>
          </w14:textFill>
        </w:rPr>
        <w:t>增长9.2</w:t>
      </w:r>
      <w:r>
        <w:rPr>
          <w:rFonts w:hint="eastAsia" w:ascii="仿宋" w:hAnsi="仿宋" w:eastAsia="仿宋" w:cs="仿宋"/>
          <w:color w:val="000000" w:themeColor="text1"/>
          <w:kern w:val="0"/>
          <w:sz w:val="32"/>
          <w:szCs w:val="32"/>
          <w14:textFill>
            <w14:solidFill>
              <w14:schemeClr w14:val="tx1"/>
            </w14:solidFill>
          </w14:textFill>
        </w:rPr>
        <w:t>%，其中：税收收入</w:t>
      </w:r>
      <w:r>
        <w:rPr>
          <w:rFonts w:hint="eastAsia" w:ascii="仿宋" w:hAnsi="仿宋" w:eastAsia="仿宋" w:cs="仿宋"/>
          <w:color w:val="000000" w:themeColor="text1"/>
          <w:kern w:val="0"/>
          <w:sz w:val="32"/>
          <w:szCs w:val="32"/>
          <w:lang w:val="en-US" w:eastAsia="zh-CN"/>
          <w14:textFill>
            <w14:solidFill>
              <w14:schemeClr w14:val="tx1"/>
            </w14:solidFill>
          </w14:textFill>
        </w:rPr>
        <w:t>10.4亿</w:t>
      </w:r>
      <w:r>
        <w:rPr>
          <w:rFonts w:hint="eastAsia" w:ascii="仿宋" w:hAnsi="仿宋" w:eastAsia="仿宋" w:cs="仿宋"/>
          <w:color w:val="000000" w:themeColor="text1"/>
          <w:kern w:val="0"/>
          <w:sz w:val="32"/>
          <w:szCs w:val="32"/>
          <w14:textFill>
            <w14:solidFill>
              <w14:schemeClr w14:val="tx1"/>
            </w14:solidFill>
          </w14:textFill>
        </w:rPr>
        <w:t>元，</w:t>
      </w:r>
      <w:r>
        <w:rPr>
          <w:rFonts w:hint="eastAsia" w:ascii="仿宋" w:hAnsi="仿宋" w:eastAsia="仿宋" w:cs="仿宋"/>
          <w:color w:val="000000" w:themeColor="text1"/>
          <w:kern w:val="0"/>
          <w:sz w:val="32"/>
          <w:szCs w:val="32"/>
          <w:lang w:val="en-US" w:eastAsia="zh-CN"/>
          <w14:textFill>
            <w14:solidFill>
              <w14:schemeClr w14:val="tx1"/>
            </w14:solidFill>
          </w14:textFill>
        </w:rPr>
        <w:t>增长0.8</w:t>
      </w:r>
      <w:r>
        <w:rPr>
          <w:rFonts w:hint="eastAsia" w:ascii="仿宋" w:hAnsi="仿宋" w:eastAsia="仿宋" w:cs="仿宋"/>
          <w:color w:val="000000" w:themeColor="text1"/>
          <w:kern w:val="0"/>
          <w:sz w:val="32"/>
          <w:szCs w:val="32"/>
          <w14:textFill>
            <w14:solidFill>
              <w14:schemeClr w14:val="tx1"/>
            </w14:solidFill>
          </w14:textFill>
        </w:rPr>
        <w:t>%，占</w:t>
      </w:r>
      <w:r>
        <w:rPr>
          <w:rFonts w:hint="eastAsia" w:ascii="仿宋" w:hAnsi="仿宋" w:eastAsia="仿宋" w:cs="仿宋"/>
          <w:color w:val="000000" w:themeColor="text1"/>
          <w:kern w:val="0"/>
          <w:sz w:val="32"/>
          <w:szCs w:val="32"/>
          <w:lang w:val="en-US" w:eastAsia="zh-CN"/>
          <w14:textFill>
            <w14:solidFill>
              <w14:schemeClr w14:val="tx1"/>
            </w14:solidFill>
          </w14:textFill>
        </w:rPr>
        <w:t>一般</w:t>
      </w:r>
      <w:r>
        <w:rPr>
          <w:rFonts w:hint="eastAsia" w:ascii="仿宋" w:hAnsi="仿宋" w:eastAsia="仿宋" w:cs="仿宋"/>
          <w:color w:val="000000" w:themeColor="text1"/>
          <w:kern w:val="0"/>
          <w:sz w:val="32"/>
          <w:szCs w:val="32"/>
          <w14:textFill>
            <w14:solidFill>
              <w14:schemeClr w14:val="tx1"/>
            </w14:solidFill>
          </w14:textFill>
        </w:rPr>
        <w:t>公共预算收入的比重为</w:t>
      </w:r>
      <w:r>
        <w:rPr>
          <w:rFonts w:hint="eastAsia" w:ascii="仿宋" w:hAnsi="仿宋" w:eastAsia="仿宋" w:cs="仿宋"/>
          <w:color w:val="000000" w:themeColor="text1"/>
          <w:kern w:val="0"/>
          <w:sz w:val="32"/>
          <w:szCs w:val="32"/>
          <w:lang w:val="en-US" w:eastAsia="zh-CN"/>
          <w14:textFill>
            <w14:solidFill>
              <w14:schemeClr w14:val="tx1"/>
            </w14:solidFill>
          </w14:textFill>
        </w:rPr>
        <w:t>83</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一般</w:t>
      </w:r>
      <w:r>
        <w:rPr>
          <w:rFonts w:hint="eastAsia" w:ascii="仿宋" w:hAnsi="仿宋" w:eastAsia="仿宋" w:cs="仿宋"/>
          <w:color w:val="000000" w:themeColor="text1"/>
          <w:kern w:val="0"/>
          <w:sz w:val="32"/>
          <w:szCs w:val="32"/>
          <w14:textFill>
            <w14:solidFill>
              <w14:schemeClr w14:val="tx1"/>
            </w14:solidFill>
          </w14:textFill>
        </w:rPr>
        <w:t>公共预算支出</w:t>
      </w:r>
      <w:r>
        <w:rPr>
          <w:rFonts w:hint="eastAsia" w:ascii="仿宋" w:hAnsi="仿宋" w:eastAsia="仿宋" w:cs="仿宋"/>
          <w:color w:val="000000" w:themeColor="text1"/>
          <w:kern w:val="0"/>
          <w:sz w:val="32"/>
          <w:szCs w:val="32"/>
          <w:lang w:val="en-US" w:eastAsia="zh-CN"/>
          <w14:textFill>
            <w14:solidFill>
              <w14:schemeClr w14:val="tx1"/>
            </w14:solidFill>
          </w14:textFill>
        </w:rPr>
        <w:t>13.3亿</w:t>
      </w:r>
      <w:r>
        <w:rPr>
          <w:rFonts w:hint="eastAsia" w:ascii="仿宋" w:hAnsi="仿宋" w:eastAsia="仿宋" w:cs="仿宋"/>
          <w:color w:val="000000" w:themeColor="text1"/>
          <w:kern w:val="0"/>
          <w:sz w:val="32"/>
          <w:szCs w:val="32"/>
          <w14:textFill>
            <w14:solidFill>
              <w14:schemeClr w14:val="tx1"/>
            </w14:solidFill>
          </w14:textFill>
        </w:rPr>
        <w:t>元，</w:t>
      </w:r>
      <w:r>
        <w:rPr>
          <w:rFonts w:hint="eastAsia" w:ascii="仿宋" w:hAnsi="仿宋" w:eastAsia="仿宋" w:cs="仿宋"/>
          <w:color w:val="000000" w:themeColor="text1"/>
          <w:kern w:val="0"/>
          <w:sz w:val="32"/>
          <w:szCs w:val="32"/>
          <w:lang w:val="en-US" w:eastAsia="zh-CN"/>
          <w14:textFill>
            <w14:solidFill>
              <w14:schemeClr w14:val="tx1"/>
            </w14:solidFill>
          </w14:textFill>
        </w:rPr>
        <w:t>增长25.8</w:t>
      </w:r>
      <w:r>
        <w:rPr>
          <w:rFonts w:hint="eastAsia" w:ascii="仿宋" w:hAnsi="仿宋" w:eastAsia="仿宋" w:cs="仿宋"/>
          <w:color w:val="000000" w:themeColor="text1"/>
          <w:kern w:val="0"/>
          <w:sz w:val="32"/>
          <w:szCs w:val="32"/>
          <w14:textFill>
            <w14:solidFill>
              <w14:schemeClr w14:val="tx1"/>
            </w14:solidFill>
          </w14:textFill>
        </w:rPr>
        <w:t>%，其中：一般公共服务支出1.8亿元，同比增长17.3%；教育支出1.8亿元，同比增长5.6%；农林水事务支出0.7亿元，同比增长0.2%。</w:t>
      </w:r>
    </w:p>
    <w:p w14:paraId="3741192A">
      <w:pPr>
        <w:pStyle w:val="3"/>
        <w:ind w:left="0" w:leftChars="0" w:firstLine="0" w:firstLineChars="0"/>
        <w:rPr>
          <w:rFonts w:hint="eastAsia" w:ascii="仿宋" w:hAnsi="仿宋" w:eastAsia="仿宋" w:cs="仿宋"/>
          <w:color w:val="FF0000"/>
          <w:kern w:val="0"/>
          <w:sz w:val="32"/>
          <w:szCs w:val="32"/>
        </w:rPr>
      </w:pPr>
      <w:r>
        <w:drawing>
          <wp:inline distT="0" distB="0" distL="114300" distR="114300">
            <wp:extent cx="5270500" cy="2520950"/>
            <wp:effectExtent l="4445" t="4445" r="20955" b="8255"/>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0048F2">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年末全区金融机构各项人民币存款余额</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92.53</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亿元，比上年末增长</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0.18</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%。各项人民币贷款余额</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73.31</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亿元，增长</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14.35</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w:t>
      </w:r>
    </w:p>
    <w:p w14:paraId="333B9C7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年末全区全区已培育上市企业2家（多氟多、佰利联），引进上市企业2家（风神轮胎、龙星化工）新三板挂牌企业1家（鸽德新材料）省定重点上市后备企业2家（鑫诚耐火、爱尔福克）。</w:t>
      </w:r>
    </w:p>
    <w:p w14:paraId="1A8387CE">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全年保险公司保费收入</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10183.01</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万元;全年赔款支出</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7354.32</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万元；实现全口径税收</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2927.63</w:t>
      </w:r>
      <w:r>
        <w:rPr>
          <w:rFonts w:hint="eastAsia" w:ascii="仿宋_GB2312" w:hAnsi="仿宋_GB2312" w:eastAsia="仿宋_GB2312" w:cs="仿宋_GB2312"/>
          <w:i w:val="0"/>
          <w:caps w:val="0"/>
          <w:color w:val="000000" w:themeColor="text1"/>
          <w:spacing w:val="0"/>
          <w:sz w:val="32"/>
          <w:szCs w:val="32"/>
          <w14:textFill>
            <w14:solidFill>
              <w14:schemeClr w14:val="tx1"/>
            </w14:solidFill>
          </w14:textFill>
        </w:rPr>
        <w:t>万元。</w:t>
      </w:r>
    </w:p>
    <w:p w14:paraId="705253E0">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八</w:t>
      </w:r>
      <w:r>
        <w:rPr>
          <w:rFonts w:hint="eastAsia" w:ascii="仿宋" w:hAnsi="仿宋" w:eastAsia="仿宋" w:cs="仿宋"/>
          <w:b/>
          <w:color w:val="000000" w:themeColor="text1"/>
          <w:sz w:val="32"/>
          <w:szCs w:val="32"/>
          <w:lang w:eastAsia="zh-CN"/>
          <w14:textFill>
            <w14:solidFill>
              <w14:schemeClr w14:val="tx1"/>
            </w14:solidFill>
          </w14:textFill>
        </w:rPr>
        <w:t>、居民收入消费和社会保障</w:t>
      </w:r>
    </w:p>
    <w:p w14:paraId="66204163">
      <w:pPr>
        <w:keepNext w:val="0"/>
        <w:keepLines w:val="0"/>
        <w:pageBreakBefore w:val="0"/>
        <w:kinsoku/>
        <w:wordWrap/>
        <w:overflowPunct/>
        <w:topLinePunct w:val="0"/>
        <w:autoSpaceDE/>
        <w:bidi w:val="0"/>
        <w:snapToGrid/>
        <w:spacing w:line="560" w:lineRule="exact"/>
        <w:ind w:left="0" w:firstLine="640" w:firstLineChars="200"/>
        <w:jc w:val="both"/>
        <w:textAlignment w:val="bottom"/>
        <w:rPr>
          <w:rFonts w:hint="eastAsia" w:ascii="仿宋" w:hAnsi="仿宋" w:eastAsia="仿宋"/>
          <w:color w:val="000000" w:themeColor="text1"/>
          <w:kern w:val="0"/>
          <w:sz w:val="32"/>
          <w:szCs w:val="32"/>
          <w:lang w:eastAsia="zh-CN"/>
          <w14:textFill>
            <w14:solidFill>
              <w14:schemeClr w14:val="tx1"/>
            </w14:solidFill>
          </w14:textFill>
        </w:rPr>
      </w:pPr>
      <w:r>
        <w:rPr>
          <w:rFonts w:hint="eastAsia" w:ascii="仿宋" w:hAnsi="仿宋" w:eastAsia="仿宋"/>
          <w:color w:val="000000" w:themeColor="text1"/>
          <w:kern w:val="0"/>
          <w:sz w:val="32"/>
          <w:szCs w:val="32"/>
          <w:lang w:val="en-US" w:eastAsia="zh-CN"/>
          <w14:textFill>
            <w14:solidFill>
              <w14:schemeClr w14:val="tx1"/>
            </w14:solidFill>
          </w14:textFill>
        </w:rPr>
        <w:t>全年全区居民</w:t>
      </w:r>
      <w:r>
        <w:rPr>
          <w:rFonts w:hint="eastAsia" w:ascii="仿宋" w:hAnsi="仿宋" w:eastAsia="仿宋"/>
          <w:color w:val="000000" w:themeColor="text1"/>
          <w:kern w:val="0"/>
          <w:sz w:val="32"/>
          <w:szCs w:val="32"/>
          <w14:textFill>
            <w14:solidFill>
              <w14:schemeClr w14:val="tx1"/>
            </w14:solidFill>
          </w14:textFill>
        </w:rPr>
        <w:t>人均可支配收入</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lang w:val="en-US" w:eastAsia="zh-CN"/>
          <w14:textFill>
            <w14:solidFill>
              <w14:schemeClr w14:val="tx1"/>
            </w14:solidFill>
          </w14:textFill>
        </w:rPr>
        <w:t>五城区）36581.5</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 w:hAnsi="仿宋" w:eastAsia="仿宋"/>
          <w:color w:val="000000" w:themeColor="text1"/>
          <w:kern w:val="0"/>
          <w:sz w:val="32"/>
          <w:szCs w:val="32"/>
          <w:lang w:val="en-US" w:eastAsia="zh-CN"/>
          <w14:textFill>
            <w14:solidFill>
              <w14:schemeClr w14:val="tx1"/>
            </w14:solidFill>
          </w14:textFill>
        </w:rPr>
        <w:t>5.9</w:t>
      </w:r>
      <w:r>
        <w:rPr>
          <w:rFonts w:hint="eastAsia" w:ascii="仿宋" w:hAnsi="仿宋" w:eastAsia="仿宋"/>
          <w:color w:val="000000" w:themeColor="text1"/>
          <w:kern w:val="0"/>
          <w:sz w:val="32"/>
          <w:szCs w:val="32"/>
          <w14:textFill>
            <w14:solidFill>
              <w14:schemeClr w14:val="tx1"/>
            </w14:solidFill>
          </w14:textFill>
        </w:rPr>
        <w:t>%</w:t>
      </w:r>
      <w:r>
        <w:rPr>
          <w:rFonts w:hint="eastAsia" w:ascii="仿宋" w:hAnsi="仿宋" w:eastAsia="仿宋"/>
          <w:color w:val="000000" w:themeColor="text1"/>
          <w:kern w:val="0"/>
          <w:sz w:val="32"/>
          <w:szCs w:val="32"/>
          <w:lang w:eastAsia="zh-CN"/>
          <w14:textFill>
            <w14:solidFill>
              <w14:schemeClr w14:val="tx1"/>
            </w14:solidFill>
          </w14:textFill>
        </w:rPr>
        <w:t>。按常住地分，</w:t>
      </w:r>
      <w:r>
        <w:rPr>
          <w:rFonts w:hint="eastAsia" w:ascii="仿宋" w:hAnsi="仿宋" w:eastAsia="仿宋"/>
          <w:color w:val="000000" w:themeColor="text1"/>
          <w:kern w:val="0"/>
          <w:sz w:val="32"/>
          <w:szCs w:val="32"/>
          <w14:textFill>
            <w14:solidFill>
              <w14:schemeClr w14:val="tx1"/>
            </w14:solidFill>
          </w14:textFill>
        </w:rPr>
        <w:t>城镇居民人均可支配收入</w:t>
      </w:r>
      <w:r>
        <w:rPr>
          <w:rFonts w:hint="eastAsia" w:ascii="仿宋" w:hAnsi="仿宋" w:eastAsia="仿宋"/>
          <w:color w:val="000000" w:themeColor="text1"/>
          <w:kern w:val="0"/>
          <w:sz w:val="32"/>
          <w:szCs w:val="32"/>
          <w:lang w:val="en-US" w:eastAsia="zh-CN"/>
          <w14:textFill>
            <w14:solidFill>
              <w14:schemeClr w14:val="tx1"/>
            </w14:solidFill>
          </w14:textFill>
        </w:rPr>
        <w:t>35617.2</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 w:hAnsi="仿宋" w:eastAsia="仿宋"/>
          <w:color w:val="000000" w:themeColor="text1"/>
          <w:kern w:val="0"/>
          <w:sz w:val="32"/>
          <w:szCs w:val="32"/>
          <w:lang w:val="en-US" w:eastAsia="zh-CN"/>
          <w14:textFill>
            <w14:solidFill>
              <w14:schemeClr w14:val="tx1"/>
            </w14:solidFill>
          </w14:textFill>
        </w:rPr>
        <w:t>4.2</w:t>
      </w:r>
      <w:r>
        <w:rPr>
          <w:rFonts w:hint="eastAsia" w:ascii="仿宋" w:hAnsi="仿宋" w:eastAsia="仿宋"/>
          <w:color w:val="000000" w:themeColor="text1"/>
          <w:kern w:val="0"/>
          <w:sz w:val="32"/>
          <w:szCs w:val="32"/>
          <w14:textFill>
            <w14:solidFill>
              <w14:schemeClr w14:val="tx1"/>
            </w14:solidFill>
          </w14:textFill>
        </w:rPr>
        <w:t>%；农民</w:t>
      </w:r>
      <w:r>
        <w:rPr>
          <w:rFonts w:hint="eastAsia" w:ascii="仿宋" w:hAnsi="仿宋" w:eastAsia="仿宋"/>
          <w:color w:val="000000" w:themeColor="text1"/>
          <w:kern w:val="0"/>
          <w:sz w:val="32"/>
          <w:szCs w:val="32"/>
          <w:lang w:val="en-US" w:eastAsia="zh-CN"/>
          <w14:textFill>
            <w14:solidFill>
              <w14:schemeClr w14:val="tx1"/>
            </w14:solidFill>
          </w14:textFill>
        </w:rPr>
        <w:t>居民</w:t>
      </w:r>
      <w:r>
        <w:rPr>
          <w:rFonts w:hint="eastAsia" w:ascii="仿宋" w:hAnsi="仿宋" w:eastAsia="仿宋"/>
          <w:color w:val="000000" w:themeColor="text1"/>
          <w:kern w:val="0"/>
          <w:sz w:val="32"/>
          <w:szCs w:val="32"/>
          <w14:textFill>
            <w14:solidFill>
              <w14:schemeClr w14:val="tx1"/>
            </w14:solidFill>
          </w14:textFill>
        </w:rPr>
        <w:t>人均可支配收入</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lang w:val="en-US" w:eastAsia="zh-CN"/>
          <w14:textFill>
            <w14:solidFill>
              <w14:schemeClr w14:val="tx1"/>
            </w14:solidFill>
          </w14:textFill>
        </w:rPr>
        <w:t>五城区）24804</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 w:hAnsi="仿宋" w:eastAsia="仿宋"/>
          <w:color w:val="000000" w:themeColor="text1"/>
          <w:kern w:val="0"/>
          <w:sz w:val="32"/>
          <w:szCs w:val="32"/>
          <w:lang w:val="en-US" w:eastAsia="zh-CN"/>
          <w14:textFill>
            <w14:solidFill>
              <w14:schemeClr w14:val="tx1"/>
            </w14:solidFill>
          </w14:textFill>
        </w:rPr>
        <w:t>7.4</w:t>
      </w:r>
      <w:r>
        <w:rPr>
          <w:rFonts w:hint="eastAsia" w:ascii="仿宋" w:hAnsi="仿宋" w:eastAsia="仿宋"/>
          <w:color w:val="000000" w:themeColor="text1"/>
          <w:kern w:val="0"/>
          <w:sz w:val="32"/>
          <w:szCs w:val="32"/>
          <w14:textFill>
            <w14:solidFill>
              <w14:schemeClr w14:val="tx1"/>
            </w14:solidFill>
          </w14:textFill>
        </w:rPr>
        <w:t>%。</w:t>
      </w:r>
    </w:p>
    <w:p w14:paraId="7EF144EF">
      <w:pPr>
        <w:pStyle w:val="3"/>
        <w:ind w:left="0" w:leftChars="0" w:firstLine="640" w:firstLineChars="200"/>
        <w:rPr>
          <w:rFonts w:hint="eastAsia" w:ascii="仿宋" w:hAnsi="仿宋" w:eastAsia="仿宋"/>
          <w:color w:val="000000" w:themeColor="text1"/>
          <w:kern w:val="0"/>
          <w:sz w:val="32"/>
          <w:szCs w:val="32"/>
          <w14:textFill>
            <w14:solidFill>
              <w14:schemeClr w14:val="tx1"/>
            </w14:solidFill>
          </w14:textFill>
        </w:rPr>
      </w:pPr>
      <w:r>
        <w:rPr>
          <w:rFonts w:hint="eastAsia" w:ascii="仿宋" w:hAnsi="仿宋" w:eastAsia="仿宋"/>
          <w:color w:val="000000" w:themeColor="text1"/>
          <w:kern w:val="0"/>
          <w:sz w:val="32"/>
          <w:szCs w:val="32"/>
          <w:lang w:eastAsia="zh-CN"/>
          <w14:textFill>
            <w14:solidFill>
              <w14:schemeClr w14:val="tx1"/>
            </w14:solidFill>
          </w14:textFill>
        </w:rPr>
        <w:t>全年全区</w:t>
      </w:r>
      <w:r>
        <w:rPr>
          <w:rFonts w:hint="eastAsia" w:ascii="仿宋" w:hAnsi="仿宋" w:eastAsia="仿宋"/>
          <w:color w:val="000000" w:themeColor="text1"/>
          <w:kern w:val="0"/>
          <w:sz w:val="32"/>
          <w:szCs w:val="32"/>
          <w14:textFill>
            <w14:solidFill>
              <w14:schemeClr w14:val="tx1"/>
            </w14:solidFill>
          </w14:textFill>
        </w:rPr>
        <w:t>居民人均消费支出</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lang w:val="en-US" w:eastAsia="zh-CN"/>
          <w14:textFill>
            <w14:solidFill>
              <w14:schemeClr w14:val="tx1"/>
            </w14:solidFill>
          </w14:textFill>
        </w:rPr>
        <w:t>五城区）24708.7</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7.5</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r>
        <w:rPr>
          <w:rFonts w:hint="eastAsia" w:ascii="仿宋" w:hAnsi="仿宋" w:eastAsia="仿宋"/>
          <w:color w:val="000000" w:themeColor="text1"/>
          <w:kern w:val="0"/>
          <w:sz w:val="32"/>
          <w:szCs w:val="32"/>
          <w:lang w:eastAsia="zh-CN"/>
          <w14:textFill>
            <w14:solidFill>
              <w14:schemeClr w14:val="tx1"/>
            </w14:solidFill>
          </w14:textFill>
        </w:rPr>
        <w:t>按常住地分，</w:t>
      </w:r>
      <w:r>
        <w:rPr>
          <w:rFonts w:hint="eastAsia" w:ascii="仿宋" w:hAnsi="仿宋" w:eastAsia="仿宋"/>
          <w:color w:val="000000" w:themeColor="text1"/>
          <w:kern w:val="0"/>
          <w:sz w:val="32"/>
          <w:szCs w:val="32"/>
          <w14:textFill>
            <w14:solidFill>
              <w14:schemeClr w14:val="tx1"/>
            </w14:solidFill>
          </w14:textFill>
        </w:rPr>
        <w:t>城镇居民人均消费支出</w:t>
      </w:r>
      <w:r>
        <w:rPr>
          <w:rFonts w:hint="eastAsia" w:ascii="仿宋" w:hAnsi="仿宋" w:eastAsia="仿宋"/>
          <w:color w:val="000000" w:themeColor="text1"/>
          <w:kern w:val="0"/>
          <w:sz w:val="32"/>
          <w:szCs w:val="32"/>
          <w:lang w:val="en-US" w:eastAsia="zh-CN"/>
          <w14:textFill>
            <w14:solidFill>
              <w14:schemeClr w14:val="tx1"/>
            </w14:solidFill>
          </w14:textFill>
        </w:rPr>
        <w:t>23851.3</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增长6.6</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r>
        <w:rPr>
          <w:rFonts w:hint="eastAsia" w:ascii="仿宋" w:hAnsi="仿宋" w:eastAsia="仿宋"/>
          <w:color w:val="000000" w:themeColor="text1"/>
          <w:kern w:val="0"/>
          <w:sz w:val="32"/>
          <w:szCs w:val="32"/>
          <w14:textFill>
            <w14:solidFill>
              <w14:schemeClr w14:val="tx1"/>
            </w14:solidFill>
          </w14:textFill>
        </w:rPr>
        <w:t>农村居民人均消费支出</w:t>
      </w:r>
      <w:r>
        <w:rPr>
          <w:rFonts w:hint="eastAsia" w:ascii="仿宋" w:hAnsi="仿宋" w:eastAsia="仿宋"/>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kern w:val="0"/>
          <w:sz w:val="32"/>
          <w:szCs w:val="32"/>
          <w:lang w:val="en-US" w:eastAsia="zh-CN"/>
          <w14:textFill>
            <w14:solidFill>
              <w14:schemeClr w14:val="tx1"/>
            </w14:solidFill>
          </w14:textFill>
        </w:rPr>
        <w:t>五城区）18551.3</w:t>
      </w:r>
      <w:r>
        <w:rPr>
          <w:rFonts w:hint="eastAsia" w:ascii="仿宋" w:hAnsi="仿宋" w:eastAsia="仿宋"/>
          <w:color w:val="000000" w:themeColor="text1"/>
          <w:kern w:val="0"/>
          <w:sz w:val="32"/>
          <w:szCs w:val="32"/>
          <w14:textFill>
            <w14:solidFill>
              <w14:schemeClr w14:val="tx1"/>
            </w14:solidFill>
          </w14:textFill>
        </w:rPr>
        <w:t>元，</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比上年增长</w:t>
      </w:r>
      <w:r>
        <w:rPr>
          <w:rFonts w:hint="eastAsia" w:ascii="仿宋_GB2312" w:hAnsi="宋体" w:eastAsia="仿宋_GB2312"/>
          <w:bCs/>
          <w:color w:val="000000" w:themeColor="text1"/>
          <w:kern w:val="0"/>
          <w:sz w:val="32"/>
          <w:szCs w:val="32"/>
          <w:shd w:val="clear" w:color="auto" w:fill="FFFFFF"/>
          <w:lang w:val="en-US" w:eastAsia="zh-CN"/>
          <w14:textFill>
            <w14:solidFill>
              <w14:schemeClr w14:val="tx1"/>
            </w14:solidFill>
          </w14:textFill>
        </w:rPr>
        <w:t>8.2</w:t>
      </w:r>
      <w:r>
        <w:rPr>
          <w:rFonts w:hint="eastAsia" w:ascii="仿宋_GB2312" w:hAnsi="宋体" w:eastAsia="仿宋_GB2312"/>
          <w:bCs/>
          <w:color w:val="000000" w:themeColor="text1"/>
          <w:kern w:val="0"/>
          <w:sz w:val="32"/>
          <w:szCs w:val="32"/>
          <w:shd w:val="clear" w:color="auto" w:fill="FFFFFF"/>
          <w14:textFill>
            <w14:solidFill>
              <w14:schemeClr w14:val="tx1"/>
            </w14:solidFill>
          </w14:textFill>
        </w:rPr>
        <w:t>%</w:t>
      </w:r>
      <w:r>
        <w:rPr>
          <w:rFonts w:hint="eastAsia" w:ascii="仿宋_GB2312" w:hAnsi="宋体" w:eastAsia="仿宋_GB2312"/>
          <w:bCs/>
          <w:color w:val="000000" w:themeColor="text1"/>
          <w:kern w:val="0"/>
          <w:sz w:val="32"/>
          <w:szCs w:val="32"/>
          <w:shd w:val="clear" w:color="auto" w:fill="FFFFFF"/>
          <w:lang w:eastAsia="zh-CN"/>
          <w14:textFill>
            <w14:solidFill>
              <w14:schemeClr w14:val="tx1"/>
            </w14:solidFill>
          </w14:textFill>
        </w:rPr>
        <w:t>。</w:t>
      </w:r>
    </w:p>
    <w:p w14:paraId="77187D9C">
      <w:pPr>
        <w:ind w:firstLine="640" w:firstLineChars="200"/>
        <w:rPr>
          <w:rFonts w:hint="eastAsia" w:ascii="仿宋" w:hAnsi="仿宋" w:eastAsia="仿宋" w:cstheme="minorBidi"/>
          <w:color w:val="FF00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全年全区参加基本医疗保险人数82889人，其中居民医疗保险65529人，职工医疗保险参保人数17360人（在职职工参加职工医疗保险14851人，退休人员参加职工医疗保险2509人）。参加基本养老保险56638人，其中：企业养老保险参保23355人，城乡居民养老保险参保33283人。在企业养老保险中，在职职工参保20777人，增长13%；离退休人员参保2578人，增长9%。参加失业保险人数14244人。参加工伤保险人数17247人。</w:t>
      </w:r>
    </w:p>
    <w:p w14:paraId="6CDAAE7F">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年城区最低生活保障月标准630元，农村最低生活保障年标准460元。全年共救助城区最低生活保障对象26327人次，发放城区最低生活保障金870.07万元。全年共救助农村最低生活保障对象11919人次，发放农村最低生活保障金280.39万元。全年共救助特困人员988人次，发放特困救助供养金77.62万元，全年共临时救助困难群众55人次，发放临时救助金8.7万元，人均救助1581.82元。2023年“99公益日”共计募集公众筹款55.77万元。</w:t>
      </w:r>
    </w:p>
    <w:p w14:paraId="29631D10">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全年共办理结婚登记544对，离婚登记210对，补领结婚登记证304对，补领离婚登记证24对。</w:t>
      </w:r>
    </w:p>
    <w:p w14:paraId="5FB3A04C">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九</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14:textFill>
            <w14:solidFill>
              <w14:schemeClr w14:val="tx1"/>
            </w14:solidFill>
          </w14:textFill>
        </w:rPr>
        <w:t>科学技术和教育</w:t>
      </w:r>
    </w:p>
    <w:p w14:paraId="0DF30D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全年全区新认定国家高新技术企业7家，同比新增6家，总数达到35家；备案入库国家科技型中小企业36家。拥有河南省节能减排科技创新示范企业2家；河南省院士工作站1个；河南省工程技术研究中心26家。全年共取得河南省科学技术奖2项。完成技术合同登记额6.93亿元，全年争取各类科技政策性资金1077万元。</w:t>
      </w:r>
    </w:p>
    <w:p w14:paraId="02A9A4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宋体"/>
          <w:color w:val="auto"/>
          <w:kern w:val="0"/>
          <w:sz w:val="32"/>
          <w:szCs w:val="32"/>
        </w:rPr>
      </w:pPr>
      <w:r>
        <w:rPr>
          <w:rFonts w:hint="eastAsia" w:ascii="仿宋" w:hAnsi="仿宋" w:eastAsia="仿宋" w:cs="仿宋"/>
          <w:color w:val="auto"/>
          <w:kern w:val="0"/>
          <w:sz w:val="32"/>
          <w:szCs w:val="32"/>
          <w:lang w:val="en-US" w:eastAsia="zh-CN" w:bidi="ar-SA"/>
        </w:rPr>
        <w:t>全区普通高中1所，招生882人，在校生2740人，毕业生792人。初中学校7所，招生2128人，在校生5745人，毕业生1855人。普通小学13所，招生1367人，在校生7993人，毕业生1372人。全区幼儿园在园幼儿3391人，其中公办幼儿园在园幼儿1724人，民办幼儿园在园幼儿1667人。资助困难学生2089人次，共计发放各项资助金107.77万元。</w:t>
      </w:r>
    </w:p>
    <w:p w14:paraId="043B1DB3">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pPr>
      <w:r>
        <w:rPr>
          <w:rFonts w:hint="eastAsia"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t>表3：2023年全区各类学校招生和在校生情况</w:t>
      </w:r>
    </w:p>
    <w:p w14:paraId="1EA549B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28"/>
          <w:szCs w:val="28"/>
          <w14:textFill>
            <w14:solidFill>
              <w14:schemeClr w14:val="tx1"/>
            </w14:solidFill>
          </w14:textFill>
        </w:rPr>
        <w:t xml:space="preserve">  单位：人</w:t>
      </w:r>
    </w:p>
    <w:tbl>
      <w:tblPr>
        <w:tblStyle w:val="8"/>
        <w:tblW w:w="8386" w:type="dxa"/>
        <w:tblInd w:w="136" w:type="dxa"/>
        <w:tblLayout w:type="fixed"/>
        <w:tblCellMar>
          <w:top w:w="0" w:type="dxa"/>
          <w:left w:w="108" w:type="dxa"/>
          <w:bottom w:w="0" w:type="dxa"/>
          <w:right w:w="108" w:type="dxa"/>
        </w:tblCellMar>
      </w:tblPr>
      <w:tblGrid>
        <w:gridCol w:w="2312"/>
        <w:gridCol w:w="1812"/>
        <w:gridCol w:w="2131"/>
        <w:gridCol w:w="2131"/>
      </w:tblGrid>
      <w:tr w14:paraId="3CA6366F">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14:paraId="39945463">
            <w:pPr>
              <w:keepNext w:val="0"/>
              <w:keepLines w:val="0"/>
              <w:pageBreakBefore w:val="0"/>
              <w:widowControl/>
              <w:kinsoku/>
              <w:wordWrap/>
              <w:overflowPunct/>
              <w:topLinePunct w:val="0"/>
              <w:autoSpaceDE/>
              <w:autoSpaceDN/>
              <w:bidi w:val="0"/>
              <w:adjustRightInd/>
              <w:snapToGrid/>
              <w:spacing w:line="560" w:lineRule="exact"/>
              <w:ind w:firstLine="560" w:firstLineChars="200"/>
              <w:jc w:val="both"/>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指  标</w:t>
            </w:r>
          </w:p>
        </w:tc>
        <w:tc>
          <w:tcPr>
            <w:tcW w:w="1812" w:type="dxa"/>
            <w:tcBorders>
              <w:top w:val="single" w:color="000000" w:sz="4" w:space="0"/>
              <w:left w:val="nil"/>
              <w:bottom w:val="single" w:color="000000" w:sz="4" w:space="0"/>
              <w:right w:val="single" w:color="000000" w:sz="4" w:space="0"/>
            </w:tcBorders>
            <w:vAlign w:val="center"/>
          </w:tcPr>
          <w:p w14:paraId="6FC85CB4">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招生数</w:t>
            </w:r>
          </w:p>
        </w:tc>
        <w:tc>
          <w:tcPr>
            <w:tcW w:w="2131" w:type="dxa"/>
            <w:tcBorders>
              <w:top w:val="single" w:color="000000" w:sz="4" w:space="0"/>
              <w:left w:val="nil"/>
              <w:bottom w:val="single" w:color="000000" w:sz="4" w:space="0"/>
              <w:right w:val="single" w:color="000000" w:sz="4" w:space="0"/>
            </w:tcBorders>
            <w:vAlign w:val="center"/>
          </w:tcPr>
          <w:p w14:paraId="30CC0EFB">
            <w:pPr>
              <w:keepNext w:val="0"/>
              <w:keepLines w:val="0"/>
              <w:pageBreakBefore w:val="0"/>
              <w:widowControl/>
              <w:kinsoku/>
              <w:wordWrap/>
              <w:overflowPunct/>
              <w:topLinePunct w:val="0"/>
              <w:autoSpaceDE/>
              <w:autoSpaceDN/>
              <w:bidi w:val="0"/>
              <w:adjustRightInd/>
              <w:snapToGrid/>
              <w:spacing w:line="560" w:lineRule="exact"/>
              <w:ind w:firstLine="140" w:firstLineChars="50"/>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在校生数</w:t>
            </w:r>
          </w:p>
        </w:tc>
        <w:tc>
          <w:tcPr>
            <w:tcW w:w="2131" w:type="dxa"/>
            <w:tcBorders>
              <w:top w:val="single" w:color="000000" w:sz="4" w:space="0"/>
              <w:left w:val="nil"/>
              <w:bottom w:val="single" w:color="000000" w:sz="4" w:space="0"/>
              <w:right w:val="single" w:color="000000" w:sz="4" w:space="0"/>
            </w:tcBorders>
            <w:vAlign w:val="center"/>
          </w:tcPr>
          <w:p w14:paraId="39023719">
            <w:pPr>
              <w:keepNext w:val="0"/>
              <w:keepLines w:val="0"/>
              <w:pageBreakBefore w:val="0"/>
              <w:widowControl/>
              <w:kinsoku/>
              <w:wordWrap/>
              <w:overflowPunct/>
              <w:topLinePunct w:val="0"/>
              <w:autoSpaceDE/>
              <w:autoSpaceDN/>
              <w:bidi w:val="0"/>
              <w:adjustRightInd/>
              <w:snapToGrid/>
              <w:spacing w:line="560" w:lineRule="exact"/>
              <w:ind w:firstLine="280" w:firstLineChars="100"/>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毕业生数</w:t>
            </w:r>
          </w:p>
        </w:tc>
      </w:tr>
      <w:tr w14:paraId="17D3FCD8">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14:paraId="0C907B44">
            <w:pPr>
              <w:keepNext w:val="0"/>
              <w:keepLines w:val="0"/>
              <w:pageBreakBefore w:val="0"/>
              <w:widowControl/>
              <w:kinsoku/>
              <w:wordWrap/>
              <w:overflowPunct/>
              <w:topLinePunct w:val="0"/>
              <w:autoSpaceDE/>
              <w:autoSpaceDN/>
              <w:bidi w:val="0"/>
              <w:adjustRightInd/>
              <w:snapToGrid/>
              <w:spacing w:line="560" w:lineRule="exact"/>
              <w:ind w:firstLine="50" w:firstLineChars="18"/>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普通高中</w:t>
            </w:r>
          </w:p>
        </w:tc>
        <w:tc>
          <w:tcPr>
            <w:tcW w:w="1812" w:type="dxa"/>
            <w:tcBorders>
              <w:top w:val="single" w:color="000000" w:sz="4" w:space="0"/>
              <w:left w:val="nil"/>
              <w:bottom w:val="single" w:color="000000" w:sz="4" w:space="0"/>
              <w:right w:val="single" w:color="000000" w:sz="4" w:space="0"/>
            </w:tcBorders>
            <w:vAlign w:val="center"/>
          </w:tcPr>
          <w:p w14:paraId="55408E1B">
            <w:pPr>
              <w:widowControl/>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882</w:t>
            </w:r>
          </w:p>
        </w:tc>
        <w:tc>
          <w:tcPr>
            <w:tcW w:w="2131" w:type="dxa"/>
            <w:tcBorders>
              <w:top w:val="single" w:color="000000" w:sz="4" w:space="0"/>
              <w:left w:val="nil"/>
              <w:bottom w:val="single" w:color="000000" w:sz="4" w:space="0"/>
              <w:right w:val="single" w:color="000000" w:sz="4" w:space="0"/>
            </w:tcBorders>
            <w:vAlign w:val="center"/>
          </w:tcPr>
          <w:p w14:paraId="487ACD37">
            <w:pPr>
              <w:widowControl/>
              <w:spacing w:line="480" w:lineRule="auto"/>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2740</w:t>
            </w:r>
          </w:p>
        </w:tc>
        <w:tc>
          <w:tcPr>
            <w:tcW w:w="2131" w:type="dxa"/>
            <w:tcBorders>
              <w:top w:val="single" w:color="000000" w:sz="4" w:space="0"/>
              <w:left w:val="nil"/>
              <w:bottom w:val="single" w:color="000000" w:sz="4" w:space="0"/>
              <w:right w:val="single" w:color="000000" w:sz="4" w:space="0"/>
            </w:tcBorders>
            <w:vAlign w:val="center"/>
          </w:tcPr>
          <w:p w14:paraId="56442E67">
            <w:pPr>
              <w:widowControl/>
              <w:spacing w:line="480" w:lineRule="auto"/>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792</w:t>
            </w:r>
          </w:p>
        </w:tc>
      </w:tr>
      <w:tr w14:paraId="3CF550E6">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14:paraId="10C6ED5E">
            <w:pPr>
              <w:keepNext w:val="0"/>
              <w:keepLines w:val="0"/>
              <w:pageBreakBefore w:val="0"/>
              <w:widowControl/>
              <w:kinsoku/>
              <w:wordWrap/>
              <w:overflowPunct/>
              <w:topLinePunct w:val="0"/>
              <w:autoSpaceDE/>
              <w:autoSpaceDN/>
              <w:bidi w:val="0"/>
              <w:adjustRightInd/>
              <w:snapToGrid/>
              <w:spacing w:line="560" w:lineRule="exact"/>
              <w:ind w:firstLine="50" w:firstLineChars="18"/>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初中学校</w:t>
            </w:r>
          </w:p>
        </w:tc>
        <w:tc>
          <w:tcPr>
            <w:tcW w:w="1812" w:type="dxa"/>
            <w:tcBorders>
              <w:top w:val="single" w:color="000000" w:sz="4" w:space="0"/>
              <w:left w:val="nil"/>
              <w:bottom w:val="single" w:color="000000" w:sz="4" w:space="0"/>
              <w:right w:val="single" w:color="000000" w:sz="4" w:space="0"/>
            </w:tcBorders>
            <w:vAlign w:val="center"/>
          </w:tcPr>
          <w:p w14:paraId="5F109817">
            <w:pPr>
              <w:widowControl/>
              <w:spacing w:line="480" w:lineRule="auto"/>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2128</w:t>
            </w:r>
          </w:p>
        </w:tc>
        <w:tc>
          <w:tcPr>
            <w:tcW w:w="2131" w:type="dxa"/>
            <w:tcBorders>
              <w:top w:val="single" w:color="000000" w:sz="4" w:space="0"/>
              <w:left w:val="nil"/>
              <w:bottom w:val="single" w:color="000000" w:sz="4" w:space="0"/>
              <w:right w:val="single" w:color="000000" w:sz="4" w:space="0"/>
            </w:tcBorders>
            <w:vAlign w:val="center"/>
          </w:tcPr>
          <w:p w14:paraId="5E33A8BE">
            <w:pPr>
              <w:widowControl/>
              <w:spacing w:line="480" w:lineRule="auto"/>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5745</w:t>
            </w:r>
          </w:p>
        </w:tc>
        <w:tc>
          <w:tcPr>
            <w:tcW w:w="2131" w:type="dxa"/>
            <w:tcBorders>
              <w:top w:val="single" w:color="000000" w:sz="4" w:space="0"/>
              <w:left w:val="nil"/>
              <w:bottom w:val="single" w:color="000000" w:sz="4" w:space="0"/>
              <w:right w:val="single" w:color="000000" w:sz="4" w:space="0"/>
            </w:tcBorders>
            <w:vAlign w:val="center"/>
          </w:tcPr>
          <w:p w14:paraId="61C38363">
            <w:pPr>
              <w:widowControl/>
              <w:spacing w:line="480" w:lineRule="auto"/>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1855</w:t>
            </w:r>
          </w:p>
        </w:tc>
      </w:tr>
      <w:tr w14:paraId="770B45B1">
        <w:tblPrEx>
          <w:tblCellMar>
            <w:top w:w="0" w:type="dxa"/>
            <w:left w:w="108" w:type="dxa"/>
            <w:bottom w:w="0" w:type="dxa"/>
            <w:right w:w="108" w:type="dxa"/>
          </w:tblCellMar>
        </w:tblPrEx>
        <w:tc>
          <w:tcPr>
            <w:tcW w:w="2312" w:type="dxa"/>
            <w:tcBorders>
              <w:top w:val="single" w:color="000000" w:sz="4" w:space="0"/>
              <w:left w:val="single" w:color="000000" w:sz="4" w:space="0"/>
              <w:bottom w:val="single" w:color="000000" w:sz="4" w:space="0"/>
              <w:right w:val="single" w:color="000000" w:sz="4" w:space="0"/>
            </w:tcBorders>
            <w:vAlign w:val="center"/>
          </w:tcPr>
          <w:p w14:paraId="640F39B4">
            <w:pPr>
              <w:keepNext w:val="0"/>
              <w:keepLines w:val="0"/>
              <w:pageBreakBefore w:val="0"/>
              <w:widowControl/>
              <w:kinsoku/>
              <w:wordWrap/>
              <w:overflowPunct/>
              <w:topLinePunct w:val="0"/>
              <w:autoSpaceDE/>
              <w:autoSpaceDN/>
              <w:bidi w:val="0"/>
              <w:adjustRightInd/>
              <w:snapToGrid/>
              <w:spacing w:line="560" w:lineRule="exact"/>
              <w:ind w:firstLine="50" w:firstLineChars="18"/>
              <w:jc w:val="cente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普通小学</w:t>
            </w:r>
          </w:p>
        </w:tc>
        <w:tc>
          <w:tcPr>
            <w:tcW w:w="1812" w:type="dxa"/>
            <w:tcBorders>
              <w:top w:val="single" w:color="000000" w:sz="4" w:space="0"/>
              <w:left w:val="nil"/>
              <w:bottom w:val="single" w:color="000000" w:sz="4" w:space="0"/>
              <w:right w:val="single" w:color="000000" w:sz="4" w:space="0"/>
            </w:tcBorders>
            <w:vAlign w:val="center"/>
          </w:tcPr>
          <w:p w14:paraId="2EC1D293">
            <w:pPr>
              <w:widowControl/>
              <w:spacing w:line="480" w:lineRule="auto"/>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1367</w:t>
            </w:r>
          </w:p>
        </w:tc>
        <w:tc>
          <w:tcPr>
            <w:tcW w:w="2131" w:type="dxa"/>
            <w:tcBorders>
              <w:top w:val="single" w:color="000000" w:sz="4" w:space="0"/>
              <w:left w:val="nil"/>
              <w:bottom w:val="single" w:color="000000" w:sz="4" w:space="0"/>
              <w:right w:val="single" w:color="000000" w:sz="4" w:space="0"/>
            </w:tcBorders>
            <w:vAlign w:val="center"/>
          </w:tcPr>
          <w:p w14:paraId="41CD0B3A">
            <w:pPr>
              <w:widowControl/>
              <w:spacing w:line="480" w:lineRule="auto"/>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7993</w:t>
            </w:r>
          </w:p>
        </w:tc>
        <w:tc>
          <w:tcPr>
            <w:tcW w:w="2131" w:type="dxa"/>
            <w:tcBorders>
              <w:top w:val="single" w:color="000000" w:sz="4" w:space="0"/>
              <w:left w:val="nil"/>
              <w:bottom w:val="single" w:color="000000" w:sz="4" w:space="0"/>
              <w:right w:val="single" w:color="000000" w:sz="4" w:space="0"/>
            </w:tcBorders>
            <w:vAlign w:val="center"/>
          </w:tcPr>
          <w:p w14:paraId="3573607C">
            <w:pPr>
              <w:widowControl/>
              <w:spacing w:line="480" w:lineRule="auto"/>
              <w:jc w:val="center"/>
              <w:rPr>
                <w:rFonts w:hint="default" w:ascii="仿宋" w:hAnsi="仿宋" w:eastAsia="仿宋" w:cs="宋体"/>
                <w:color w:val="000000" w:themeColor="text1"/>
                <w:kern w:val="0"/>
                <w:sz w:val="28"/>
                <w:szCs w:val="28"/>
                <w:lang w:val="en-US" w:eastAsia="zh-CN"/>
                <w14:textFill>
                  <w14:solidFill>
                    <w14:schemeClr w14:val="tx1"/>
                  </w14:solidFill>
                </w14:textFill>
              </w:rPr>
            </w:pPr>
            <w:r>
              <w:rPr>
                <w:rFonts w:hint="eastAsia" w:ascii="仿宋" w:hAnsi="仿宋" w:eastAsia="仿宋" w:cs="宋体"/>
                <w:color w:val="000000" w:themeColor="text1"/>
                <w:kern w:val="0"/>
                <w:sz w:val="28"/>
                <w:szCs w:val="28"/>
                <w:lang w:val="en-US" w:eastAsia="zh-CN"/>
                <w14:textFill>
                  <w14:solidFill>
                    <w14:schemeClr w14:val="tx1"/>
                  </w14:solidFill>
                </w14:textFill>
              </w:rPr>
              <w:t>1372</w:t>
            </w:r>
          </w:p>
        </w:tc>
      </w:tr>
    </w:tbl>
    <w:p w14:paraId="61C0F3A4">
      <w:pPr>
        <w:keepNext w:val="0"/>
        <w:keepLines w:val="0"/>
        <w:pageBreakBefore w:val="0"/>
        <w:kinsoku/>
        <w:wordWrap/>
        <w:overflowPunct/>
        <w:topLinePunct w:val="0"/>
        <w:autoSpaceDE/>
        <w:autoSpaceDN/>
        <w:bidi w:val="0"/>
        <w:adjustRightInd/>
        <w:snapToGrid/>
        <w:spacing w:line="560" w:lineRule="exact"/>
        <w:jc w:val="center"/>
        <w:rPr>
          <w:rFonts w:hint="eastAsia" w:ascii="仿宋" w:hAnsi="仿宋" w:eastAsia="仿宋" w:cs="仿宋"/>
          <w:b/>
          <w:bCs w:val="0"/>
          <w:color w:val="000000" w:themeColor="text1"/>
          <w:kern w:val="0"/>
          <w:sz w:val="28"/>
          <w:szCs w:val="28"/>
          <w:shd w:val="clear" w:color="auto" w:fill="FFFFFF"/>
          <w:lang w:val="en-US" w:eastAsia="zh-CN"/>
          <w14:textFill>
            <w14:solidFill>
              <w14:schemeClr w14:val="tx1"/>
            </w14:solidFill>
          </w14:textFill>
        </w:rPr>
      </w:pPr>
    </w:p>
    <w:p w14:paraId="16FE835E">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十</w:t>
      </w:r>
      <w:r>
        <w:rPr>
          <w:rFonts w:hint="eastAsia" w:ascii="仿宋" w:hAnsi="仿宋" w:eastAsia="仿宋" w:cs="仿宋"/>
          <w:b/>
          <w:color w:val="000000" w:themeColor="text1"/>
          <w:sz w:val="32"/>
          <w:szCs w:val="32"/>
          <w14:textFill>
            <w14:solidFill>
              <w14:schemeClr w14:val="tx1"/>
            </w14:solidFill>
          </w14:textFill>
        </w:rPr>
        <w:t>、文化</w:t>
      </w:r>
      <w:r>
        <w:rPr>
          <w:rFonts w:hint="eastAsia" w:ascii="仿宋" w:hAnsi="仿宋" w:eastAsia="仿宋" w:cs="仿宋"/>
          <w:b/>
          <w:color w:val="000000" w:themeColor="text1"/>
          <w:sz w:val="32"/>
          <w:szCs w:val="32"/>
          <w:lang w:val="en-US" w:eastAsia="zh-CN"/>
          <w14:textFill>
            <w14:solidFill>
              <w14:schemeClr w14:val="tx1"/>
            </w14:solidFill>
          </w14:textFill>
        </w:rPr>
        <w:t>旅游</w:t>
      </w:r>
      <w:r>
        <w:rPr>
          <w:rFonts w:hint="eastAsia" w:ascii="仿宋" w:hAnsi="仿宋" w:eastAsia="仿宋" w:cs="仿宋"/>
          <w:b/>
          <w:color w:val="000000" w:themeColor="text1"/>
          <w:sz w:val="32"/>
          <w:szCs w:val="32"/>
          <w14:textFill>
            <w14:solidFill>
              <w14:schemeClr w14:val="tx1"/>
            </w14:solidFill>
          </w14:textFill>
        </w:rPr>
        <w:t>、卫生</w:t>
      </w:r>
      <w:r>
        <w:rPr>
          <w:rFonts w:hint="eastAsia" w:ascii="仿宋" w:hAnsi="仿宋" w:eastAsia="仿宋" w:cs="仿宋"/>
          <w:b/>
          <w:color w:val="000000" w:themeColor="text1"/>
          <w:sz w:val="32"/>
          <w:szCs w:val="32"/>
          <w:lang w:val="en-US" w:eastAsia="zh-CN"/>
          <w14:textFill>
            <w14:solidFill>
              <w14:schemeClr w14:val="tx1"/>
            </w14:solidFill>
          </w14:textFill>
        </w:rPr>
        <w:t>健康</w:t>
      </w:r>
      <w:r>
        <w:rPr>
          <w:rFonts w:hint="eastAsia" w:ascii="仿宋" w:hAnsi="仿宋" w:eastAsia="仿宋" w:cs="仿宋"/>
          <w:b/>
          <w:color w:val="000000" w:themeColor="text1"/>
          <w:sz w:val="32"/>
          <w:szCs w:val="32"/>
          <w14:textFill>
            <w14:solidFill>
              <w14:schemeClr w14:val="tx1"/>
            </w14:solidFill>
          </w14:textFill>
        </w:rPr>
        <w:t>和体育</w:t>
      </w:r>
    </w:p>
    <w:p w14:paraId="6B9F5E8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全年全区共有各类艺术表演团体</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个，文化馆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个，图书馆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个，各街道办事处文化站</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个、村（社区）文化中心</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个，国家级非物质文化遗产项目（常家武虎、小尚虎舞）2项，省级非物质文化遗产保护项目（白猿通背拳、东冯封文武高跷、李封天目瓷烧制技艺、造店查拳、小尚炮捶）5项，市级非物质文化遗产保护项目10项；全国重点文物保护单位（府城遗址、许衡墓）2处，省级文物保护单位（靳德茂墓、张昺墓、北朱村民居含张昺祠、太行区第四专区及党政军机关旧址、府城王家祠堂）5处，省保附属建筑（英福公司李封矿矿师办公室旧址、王封矿发电机房）2处，市级文物保护单位</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处。</w:t>
      </w:r>
    </w:p>
    <w:p w14:paraId="7BFDF85A">
      <w:pPr>
        <w:pStyle w:val="14"/>
        <w:keepNext w:val="0"/>
        <w:keepLines w:val="0"/>
        <w:pageBreakBefore w:val="0"/>
        <w:kinsoku/>
        <w:wordWrap/>
        <w:overflowPunct/>
        <w:topLinePunct w:val="0"/>
        <w:autoSpaceDE/>
        <w:autoSpaceDN/>
        <w:bidi w:val="0"/>
        <w:adjustRightInd/>
        <w:snapToGrid/>
        <w:spacing w:line="560" w:lineRule="exact"/>
        <w:ind w:firstLine="64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全年全区共有卫生机构81个，其中：医院、社区卫生服务中心12个。医院、社区卫生服务中心病床680张。医护人员787人，其中：执业医师和执业助理医师328人，注册护士459人。疾病预防控制中心（防疫站）7个，其中卫生技术人员7人（含医师和护士）。妇幼保健站1个，其中卫生技术人员4人（医师3人，护师1人）。</w:t>
      </w:r>
    </w:p>
    <w:p w14:paraId="03476A95">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全年全区共开展经常性群众文体活动</w:t>
      </w:r>
      <w:r>
        <w:rPr>
          <w:rFonts w:hint="eastAsia" w:ascii="仿宋_GB2312" w:hAnsi="仿宋_GB2312" w:eastAsia="仿宋_GB2312" w:cs="仿宋_GB2312"/>
          <w:sz w:val="32"/>
          <w:szCs w:val="32"/>
          <w:lang w:val="en-US" w:eastAsia="zh-CN"/>
        </w:rPr>
        <w:t>260</w:t>
      </w:r>
      <w:r>
        <w:rPr>
          <w:rFonts w:hint="eastAsia" w:ascii="仿宋_GB2312" w:hAnsi="仿宋_GB2312" w:eastAsia="仿宋_GB2312" w:cs="仿宋_GB2312"/>
          <w:sz w:val="32"/>
          <w:szCs w:val="32"/>
        </w:rPr>
        <w:t>余次，举办全区性体育健身活动</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次。全区所有的行政村、社区已实现了体育健身工程的全覆盖，提升改造笼式篮球场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块，新建</w:t>
      </w:r>
      <w:r>
        <w:rPr>
          <w:rFonts w:hint="eastAsia" w:ascii="仿宋_GB2312" w:hAnsi="仿宋_GB2312" w:eastAsia="仿宋_GB2312" w:cs="仿宋_GB2312"/>
          <w:color w:val="000000" w:themeColor="text1"/>
          <w:sz w:val="32"/>
          <w:szCs w:val="32"/>
          <w14:textFill>
            <w14:solidFill>
              <w14:schemeClr w14:val="tx1"/>
            </w14:solidFill>
          </w14:textFill>
        </w:rPr>
        <w:t>笼式足球场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个。</w:t>
      </w:r>
    </w:p>
    <w:p w14:paraId="621101F9">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十</w:t>
      </w:r>
      <w:r>
        <w:rPr>
          <w:rFonts w:hint="eastAsia" w:ascii="仿宋" w:hAnsi="仿宋" w:eastAsia="仿宋" w:cs="仿宋"/>
          <w:b/>
          <w:color w:val="000000" w:themeColor="text1"/>
          <w:sz w:val="32"/>
          <w:szCs w:val="32"/>
          <w:lang w:val="en-US" w:eastAsia="zh-CN"/>
          <w14:textFill>
            <w14:solidFill>
              <w14:schemeClr w14:val="tx1"/>
            </w14:solidFill>
          </w14:textFill>
        </w:rPr>
        <w:t>一</w:t>
      </w:r>
      <w:r>
        <w:rPr>
          <w:rFonts w:hint="eastAsia" w:ascii="仿宋" w:hAnsi="仿宋" w:eastAsia="仿宋" w:cs="仿宋"/>
          <w:b/>
          <w:color w:val="000000" w:themeColor="text1"/>
          <w:sz w:val="32"/>
          <w:szCs w:val="32"/>
          <w14:textFill>
            <w14:solidFill>
              <w14:schemeClr w14:val="tx1"/>
            </w14:solidFill>
          </w14:textFill>
        </w:rPr>
        <w:t>、交通</w:t>
      </w:r>
      <w:r>
        <w:rPr>
          <w:rFonts w:hint="eastAsia" w:ascii="仿宋" w:hAnsi="仿宋" w:eastAsia="仿宋" w:cs="仿宋"/>
          <w:b/>
          <w:color w:val="000000" w:themeColor="text1"/>
          <w:sz w:val="32"/>
          <w:szCs w:val="32"/>
          <w:lang w:eastAsia="zh-CN"/>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资源、环境和应急管理</w:t>
      </w:r>
    </w:p>
    <w:p w14:paraId="675BD97B">
      <w:pPr>
        <w:pStyle w:val="3"/>
        <w:ind w:left="0" w:leftChars="0" w:firstLine="640" w:firstLineChars="200"/>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全年末全区公路通车总里程139.176公里，其中农村公路总里程139.176公里。全区行政村村村通油路或水泥路136.828公里。</w:t>
      </w:r>
    </w:p>
    <w:p w14:paraId="2FE1840A">
      <w:pPr>
        <w:pStyle w:val="3"/>
        <w:ind w:left="0" w:leftChars="0" w:firstLine="640" w:firstLineChars="200"/>
        <w:rPr>
          <w:rFonts w:hint="default"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全年全区全社会能耗总量210.5万吨标准煤，比上年下降0.9%，万元GDP能耗降低率-5%。</w:t>
      </w:r>
    </w:p>
    <w:p w14:paraId="64E3570F">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0"/>
          <w:sz w:val="32"/>
          <w:szCs w:val="32"/>
          <w:lang w:val="en-US" w:eastAsia="zh-CN" w:bidi="ar-SA"/>
          <w14:textFill>
            <w14:solidFill>
              <w14:schemeClr w14:val="tx1"/>
            </w14:solidFill>
          </w14:textFill>
        </w:rPr>
      </w:pPr>
      <w:r>
        <w:rPr>
          <w:rFonts w:hint="eastAsia" w:ascii="仿宋" w:hAnsi="仿宋" w:eastAsia="仿宋" w:cs="仿宋"/>
          <w:color w:val="000000" w:themeColor="text1"/>
          <w:kern w:val="0"/>
          <w:sz w:val="32"/>
          <w:szCs w:val="32"/>
          <w:lang w:val="en-US" w:eastAsia="zh-CN" w:bidi="ar-SA"/>
          <w14:textFill>
            <w14:solidFill>
              <w14:schemeClr w14:val="tx1"/>
            </w14:solidFill>
          </w14:textFill>
        </w:rPr>
        <w:t>全年全区PM10年均浓度为73微克/立方米，同比下降6.4%，低于目标值16微克/立方米(2023年PM10市定目标值89微克/立方米);PM2.5年均浓度为43微克/立方米，同比下降6.5%，低于目标值4微克/立方米(2023年PM2.5市定目标值47微克/立方米);优良天数为233天，</w:t>
      </w:r>
      <w:r>
        <w:rPr>
          <w:rFonts w:hint="default" w:ascii="仿宋_GB2312" w:eastAsia="仿宋_GB2312" w:cs="仿宋_GB2312"/>
          <w:color w:val="000000" w:themeColor="text1"/>
          <w:sz w:val="32"/>
          <w:szCs w:val="32"/>
          <w14:textFill>
            <w14:solidFill>
              <w14:schemeClr w14:val="tx1"/>
            </w14:solidFill>
          </w14:textFill>
        </w:rPr>
        <w:t>同比去年增加</w:t>
      </w:r>
      <w:r>
        <w:rPr>
          <w:rFonts w:hint="default" w:ascii="Times New Roman" w:hAnsi="Times New Roman" w:eastAsia="仿宋_GB2312" w:cs="Times New Roman"/>
          <w:color w:val="000000" w:themeColor="text1"/>
          <w:sz w:val="32"/>
          <w:szCs w:val="32"/>
          <w14:textFill>
            <w14:solidFill>
              <w14:schemeClr w14:val="tx1"/>
            </w14:solidFill>
          </w14:textFill>
        </w:rPr>
        <w:t>3</w:t>
      </w:r>
      <w:r>
        <w:rPr>
          <w:rFonts w:hint="default" w:ascii="仿宋_GB2312" w:eastAsia="仿宋_GB2312" w:cs="仿宋_GB2312"/>
          <w:color w:val="000000" w:themeColor="text1"/>
          <w:sz w:val="32"/>
          <w:szCs w:val="32"/>
          <w14:textFill>
            <w14:solidFill>
              <w14:schemeClr w14:val="tx1"/>
            </w14:solidFill>
          </w14:textFill>
        </w:rPr>
        <w:t>天，优良天数比例为</w:t>
      </w:r>
      <w:r>
        <w:rPr>
          <w:rFonts w:hint="default" w:ascii="Times New Roman" w:hAnsi="Times New Roman" w:eastAsia="仿宋_GB2312" w:cs="Times New Roman"/>
          <w:color w:val="000000" w:themeColor="text1"/>
          <w:sz w:val="32"/>
          <w:szCs w:val="32"/>
          <w14:textFill>
            <w14:solidFill>
              <w14:schemeClr w14:val="tx1"/>
            </w14:solidFill>
          </w14:textFill>
        </w:rPr>
        <w:t>64.2%</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bidi="ar-SA"/>
          <w14:textFill>
            <w14:solidFill>
              <w14:schemeClr w14:val="tx1"/>
            </w14:solidFill>
          </w14:textFill>
        </w:rPr>
        <w:t>超出目标值9天(2023年优良天市定目标值224天)。</w:t>
      </w:r>
    </w:p>
    <w:p w14:paraId="5DCF896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全年全区完成造林面积37公顷，其中人工造林面积37公顷。全区参加义务植树0.07万余人次，完成义务植树0.42万余株。年末共有国家级自然保护区1个，省级森林公园2个。</w:t>
      </w:r>
    </w:p>
    <w:p w14:paraId="744E147E">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全年全区农作物受灾面积0公顷，洪涝干旱和地质灾害造成直接经济损失0万元。</w:t>
      </w:r>
    </w:p>
    <w:p w14:paraId="20CAF277">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color w:val="000000" w:themeColor="text1"/>
          <w14:textFill>
            <w14:solidFill>
              <w14:schemeClr w14:val="tx1"/>
            </w14:solidFill>
          </w14:textFill>
        </w:rPr>
      </w:pPr>
      <w:r>
        <w:rPr>
          <w:rFonts w:hint="default" w:ascii="仿宋" w:hAnsi="仿宋" w:eastAsia="仿宋" w:cs="仿宋"/>
          <w:color w:val="000000" w:themeColor="text1"/>
          <w:kern w:val="0"/>
          <w:sz w:val="32"/>
          <w:szCs w:val="32"/>
          <w14:textFill>
            <w14:solidFill>
              <w14:schemeClr w14:val="tx1"/>
            </w14:solidFill>
          </w14:textFill>
        </w:rPr>
        <w:t>全年全</w:t>
      </w:r>
      <w:r>
        <w:rPr>
          <w:rFonts w:hint="eastAsia" w:ascii="仿宋" w:hAnsi="仿宋" w:eastAsia="仿宋" w:cs="仿宋"/>
          <w:color w:val="000000" w:themeColor="text1"/>
          <w:kern w:val="0"/>
          <w:sz w:val="32"/>
          <w:szCs w:val="32"/>
          <w:lang w:val="en-US" w:eastAsia="zh-CN"/>
          <w14:textFill>
            <w14:solidFill>
              <w14:schemeClr w14:val="tx1"/>
            </w14:solidFill>
          </w14:textFill>
        </w:rPr>
        <w:t>区未</w:t>
      </w:r>
      <w:r>
        <w:rPr>
          <w:rFonts w:hint="default" w:ascii="仿宋" w:hAnsi="仿宋" w:eastAsia="仿宋" w:cs="仿宋"/>
          <w:color w:val="000000" w:themeColor="text1"/>
          <w:kern w:val="0"/>
          <w:sz w:val="32"/>
          <w:szCs w:val="32"/>
          <w14:textFill>
            <w14:solidFill>
              <w14:schemeClr w14:val="tx1"/>
            </w14:solidFill>
          </w14:textFill>
        </w:rPr>
        <w:t>发生各类生产安全事故。</w:t>
      </w:r>
    </w:p>
    <w:p w14:paraId="7D0A5F86">
      <w:pPr>
        <w:pStyle w:val="7"/>
        <w:keepNext w:val="0"/>
        <w:keepLines w:val="0"/>
        <w:pageBreakBefore w:val="0"/>
        <w:widowControl/>
        <w:kinsoku/>
        <w:wordWrap/>
        <w:overflowPunct/>
        <w:topLinePunct w:val="0"/>
        <w:autoSpaceDE/>
        <w:autoSpaceDN/>
        <w:bidi w:val="0"/>
        <w:adjustRightInd/>
        <w:snapToGrid/>
        <w:spacing w:line="560" w:lineRule="exact"/>
        <w:ind w:firstLine="643" w:firstLineChars="200"/>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注：</w:t>
      </w:r>
    </w:p>
    <w:p w14:paraId="3946A893">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本公报2023年数据为初步统计结果。部分数据因四舍五入的原因，存在总计与分项合计不等的情况。</w:t>
      </w:r>
    </w:p>
    <w:p w14:paraId="6C687827">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生产总值、各产业增加值绝对数按现价计算，增长速度按不变价格计算。经最终核实，202</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年全</w:t>
      </w:r>
      <w:r>
        <w:rPr>
          <w:rFonts w:hint="eastAsia" w:ascii="仿宋" w:hAnsi="仿宋" w:eastAsia="仿宋" w:cs="仿宋"/>
          <w:color w:val="000000" w:themeColor="text1"/>
          <w:sz w:val="24"/>
          <w:szCs w:val="24"/>
          <w:lang w:val="en-US" w:eastAsia="zh-CN"/>
          <w14:textFill>
            <w14:solidFill>
              <w14:schemeClr w14:val="tx1"/>
            </w14:solidFill>
          </w14:textFill>
        </w:rPr>
        <w:t>区</w:t>
      </w:r>
      <w:r>
        <w:rPr>
          <w:rFonts w:hint="eastAsia" w:ascii="仿宋" w:hAnsi="仿宋" w:eastAsia="仿宋" w:cs="仿宋"/>
          <w:color w:val="000000" w:themeColor="text1"/>
          <w:sz w:val="24"/>
          <w:szCs w:val="24"/>
          <w14:textFill>
            <w14:solidFill>
              <w14:schemeClr w14:val="tx1"/>
            </w14:solidFill>
          </w14:textFill>
        </w:rPr>
        <w:t>生产总值为</w:t>
      </w:r>
      <w:r>
        <w:rPr>
          <w:rFonts w:hint="eastAsia" w:ascii="仿宋" w:hAnsi="仿宋" w:eastAsia="仿宋" w:cs="仿宋"/>
          <w:color w:val="000000" w:themeColor="text1"/>
          <w:sz w:val="24"/>
          <w:szCs w:val="24"/>
          <w:lang w:val="en-US" w:eastAsia="zh-CN"/>
          <w14:textFill>
            <w14:solidFill>
              <w14:schemeClr w14:val="tx1"/>
            </w14:solidFill>
          </w14:textFill>
        </w:rPr>
        <w:t>146.8</w:t>
      </w:r>
      <w:r>
        <w:rPr>
          <w:rFonts w:hint="eastAsia" w:ascii="仿宋" w:hAnsi="仿宋" w:eastAsia="仿宋" w:cs="仿宋"/>
          <w:color w:val="000000" w:themeColor="text1"/>
          <w:sz w:val="24"/>
          <w:szCs w:val="24"/>
          <w14:textFill>
            <w14:solidFill>
              <w14:schemeClr w14:val="tx1"/>
            </w14:solidFill>
          </w14:textFill>
        </w:rPr>
        <w:t>亿元，比上年</w:t>
      </w:r>
      <w:r>
        <w:rPr>
          <w:rFonts w:hint="eastAsia" w:ascii="仿宋" w:hAnsi="仿宋" w:eastAsia="仿宋" w:cs="仿宋"/>
          <w:color w:val="000000" w:themeColor="text1"/>
          <w:sz w:val="24"/>
          <w:szCs w:val="24"/>
          <w:lang w:val="en-US" w:eastAsia="zh-CN"/>
          <w14:textFill>
            <w14:solidFill>
              <w14:schemeClr w14:val="tx1"/>
            </w14:solidFill>
          </w14:textFill>
        </w:rPr>
        <w:t>增长2.5</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其中：第一产业增加值</w:t>
      </w:r>
      <w:r>
        <w:rPr>
          <w:rFonts w:hint="eastAsia" w:ascii="仿宋" w:hAnsi="仿宋" w:eastAsia="仿宋" w:cs="仿宋"/>
          <w:color w:val="000000" w:themeColor="text1"/>
          <w:sz w:val="24"/>
          <w:szCs w:val="24"/>
          <w:lang w:val="en-US" w:eastAsia="zh-CN"/>
          <w14:textFill>
            <w14:solidFill>
              <w14:schemeClr w14:val="tx1"/>
            </w14:solidFill>
          </w14:textFill>
        </w:rPr>
        <w:t>0.6</w:t>
      </w:r>
      <w:r>
        <w:rPr>
          <w:rFonts w:hint="eastAsia" w:ascii="仿宋" w:hAnsi="仿宋" w:eastAsia="仿宋" w:cs="仿宋"/>
          <w:color w:val="000000" w:themeColor="text1"/>
          <w:sz w:val="24"/>
          <w:szCs w:val="24"/>
          <w:lang w:eastAsia="zh-CN"/>
          <w14:textFill>
            <w14:solidFill>
              <w14:schemeClr w14:val="tx1"/>
            </w14:solidFill>
          </w14:textFill>
        </w:rPr>
        <w:t>亿元，增长</w:t>
      </w:r>
      <w:r>
        <w:rPr>
          <w:rFonts w:hint="eastAsia" w:ascii="仿宋" w:hAnsi="仿宋" w:eastAsia="仿宋" w:cs="仿宋"/>
          <w:color w:val="000000" w:themeColor="text1"/>
          <w:sz w:val="24"/>
          <w:szCs w:val="24"/>
          <w:lang w:val="en-US" w:eastAsia="zh-CN"/>
          <w14:textFill>
            <w14:solidFill>
              <w14:schemeClr w14:val="tx1"/>
            </w14:solidFill>
          </w14:textFill>
        </w:rPr>
        <w:t>4.6</w:t>
      </w:r>
      <w:r>
        <w:rPr>
          <w:rFonts w:hint="eastAsia" w:ascii="仿宋" w:hAnsi="仿宋" w:eastAsia="仿宋" w:cs="仿宋"/>
          <w:color w:val="000000" w:themeColor="text1"/>
          <w:sz w:val="24"/>
          <w:szCs w:val="24"/>
          <w:lang w:eastAsia="zh-CN"/>
          <w14:textFill>
            <w14:solidFill>
              <w14:schemeClr w14:val="tx1"/>
            </w14:solidFill>
          </w14:textFill>
        </w:rPr>
        <w:t>%；第二产业增加值</w:t>
      </w:r>
      <w:r>
        <w:rPr>
          <w:rFonts w:hint="eastAsia" w:ascii="仿宋" w:hAnsi="仿宋" w:eastAsia="仿宋" w:cs="仿宋"/>
          <w:color w:val="000000" w:themeColor="text1"/>
          <w:sz w:val="24"/>
          <w:szCs w:val="24"/>
          <w:lang w:val="en-US" w:eastAsia="zh-CN"/>
          <w14:textFill>
            <w14:solidFill>
              <w14:schemeClr w14:val="tx1"/>
            </w14:solidFill>
          </w14:textFill>
        </w:rPr>
        <w:t>107.1</w:t>
      </w:r>
      <w:r>
        <w:rPr>
          <w:rFonts w:hint="eastAsia" w:ascii="仿宋" w:hAnsi="仿宋" w:eastAsia="仿宋" w:cs="仿宋"/>
          <w:color w:val="000000" w:themeColor="text1"/>
          <w:sz w:val="24"/>
          <w:szCs w:val="24"/>
          <w:lang w:eastAsia="zh-CN"/>
          <w14:textFill>
            <w14:solidFill>
              <w14:schemeClr w14:val="tx1"/>
            </w14:solidFill>
          </w14:textFill>
        </w:rPr>
        <w:t>亿元，</w:t>
      </w:r>
      <w:r>
        <w:rPr>
          <w:rFonts w:hint="eastAsia" w:ascii="仿宋" w:hAnsi="仿宋" w:eastAsia="仿宋" w:cs="仿宋"/>
          <w:color w:val="000000" w:themeColor="text1"/>
          <w:sz w:val="24"/>
          <w:szCs w:val="24"/>
          <w:lang w:val="en-US" w:eastAsia="zh-CN"/>
          <w14:textFill>
            <w14:solidFill>
              <w14:schemeClr w14:val="tx1"/>
            </w14:solidFill>
          </w14:textFill>
        </w:rPr>
        <w:t>增长3.0</w:t>
      </w:r>
      <w:r>
        <w:rPr>
          <w:rFonts w:hint="eastAsia" w:ascii="仿宋" w:hAnsi="仿宋" w:eastAsia="仿宋" w:cs="仿宋"/>
          <w:color w:val="000000" w:themeColor="text1"/>
          <w:sz w:val="24"/>
          <w:szCs w:val="24"/>
          <w:lang w:eastAsia="zh-CN"/>
          <w14:textFill>
            <w14:solidFill>
              <w14:schemeClr w14:val="tx1"/>
            </w14:solidFill>
          </w14:textFill>
        </w:rPr>
        <w:t>%；第三产业增加值</w:t>
      </w:r>
      <w:r>
        <w:rPr>
          <w:rFonts w:hint="eastAsia" w:ascii="仿宋" w:hAnsi="仿宋" w:eastAsia="仿宋" w:cs="仿宋"/>
          <w:color w:val="000000" w:themeColor="text1"/>
          <w:sz w:val="24"/>
          <w:szCs w:val="24"/>
          <w:lang w:val="en-US" w:eastAsia="zh-CN"/>
          <w14:textFill>
            <w14:solidFill>
              <w14:schemeClr w14:val="tx1"/>
            </w14:solidFill>
          </w14:textFill>
        </w:rPr>
        <w:t>39.1</w:t>
      </w:r>
      <w:r>
        <w:rPr>
          <w:rFonts w:hint="eastAsia" w:ascii="仿宋" w:hAnsi="仿宋" w:eastAsia="仿宋" w:cs="仿宋"/>
          <w:color w:val="000000" w:themeColor="text1"/>
          <w:sz w:val="24"/>
          <w:szCs w:val="24"/>
          <w:lang w:eastAsia="zh-CN"/>
          <w14:textFill>
            <w14:solidFill>
              <w14:schemeClr w14:val="tx1"/>
            </w14:solidFill>
          </w14:textFill>
        </w:rPr>
        <w:t>亿元，</w:t>
      </w:r>
      <w:r>
        <w:rPr>
          <w:rFonts w:hint="eastAsia" w:ascii="仿宋" w:hAnsi="仿宋" w:eastAsia="仿宋" w:cs="仿宋"/>
          <w:color w:val="000000" w:themeColor="text1"/>
          <w:sz w:val="24"/>
          <w:szCs w:val="24"/>
          <w:lang w:val="en-US" w:eastAsia="zh-CN"/>
          <w14:textFill>
            <w14:solidFill>
              <w14:schemeClr w14:val="tx1"/>
            </w14:solidFill>
          </w14:textFill>
        </w:rPr>
        <w:t>增长1.0</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三次产业结构为</w:t>
      </w:r>
      <w:r>
        <w:rPr>
          <w:rFonts w:hint="eastAsia" w:ascii="仿宋" w:hAnsi="仿宋" w:eastAsia="仿宋" w:cs="仿宋"/>
          <w:color w:val="000000" w:themeColor="text1"/>
          <w:sz w:val="24"/>
          <w:szCs w:val="24"/>
          <w:lang w:val="en-US" w:eastAsia="zh-CN"/>
          <w14:textFill>
            <w14:solidFill>
              <w14:schemeClr w14:val="tx1"/>
            </w14:solidFill>
          </w14:textFill>
        </w:rPr>
        <w:t>0.4</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73.0</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26.6</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按常住人口计算，全年</w:t>
      </w:r>
      <w:r>
        <w:rPr>
          <w:rFonts w:hint="eastAsia" w:ascii="仿宋" w:hAnsi="仿宋" w:eastAsia="仿宋" w:cs="仿宋"/>
          <w:color w:val="000000" w:themeColor="text1"/>
          <w:sz w:val="24"/>
          <w:szCs w:val="24"/>
          <w14:textFill>
            <w14:solidFill>
              <w14:schemeClr w14:val="tx1"/>
            </w14:solidFill>
          </w14:textFill>
        </w:rPr>
        <w:t>人均地区生产总值</w:t>
      </w:r>
      <w:r>
        <w:rPr>
          <w:rFonts w:hint="eastAsia" w:ascii="仿宋" w:hAnsi="仿宋" w:eastAsia="仿宋" w:cs="仿宋"/>
          <w:color w:val="000000" w:themeColor="text1"/>
          <w:sz w:val="24"/>
          <w:szCs w:val="24"/>
          <w:lang w:val="en-US" w:eastAsia="zh-CN"/>
          <w14:textFill>
            <w14:solidFill>
              <w14:schemeClr w14:val="tx1"/>
            </w14:solidFill>
          </w14:textFill>
        </w:rPr>
        <w:t>136727</w:t>
      </w:r>
      <w:r>
        <w:rPr>
          <w:rFonts w:hint="eastAsia" w:ascii="仿宋" w:hAnsi="仿宋" w:eastAsia="仿宋" w:cs="仿宋"/>
          <w:color w:val="000000" w:themeColor="text1"/>
          <w:sz w:val="24"/>
          <w:szCs w:val="24"/>
          <w14:textFill>
            <w14:solidFill>
              <w14:schemeClr w14:val="tx1"/>
            </w14:solidFill>
          </w14:textFill>
        </w:rPr>
        <w:t>元</w:t>
      </w:r>
      <w:r>
        <w:rPr>
          <w:rFonts w:hint="eastAsia" w:ascii="仿宋" w:hAnsi="仿宋" w:eastAsia="仿宋" w:cs="仿宋"/>
          <w:color w:val="000000" w:themeColor="text1"/>
          <w:sz w:val="24"/>
          <w:szCs w:val="24"/>
          <w:lang w:eastAsia="zh-CN"/>
          <w14:textFill>
            <w14:solidFill>
              <w14:schemeClr w14:val="tx1"/>
            </w14:solidFill>
          </w14:textFill>
        </w:rPr>
        <w:t>，比上年增长</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。部分数据因四舍五入的原因，存在总计与分项合计不等的情况。</w:t>
      </w:r>
    </w:p>
    <w:p w14:paraId="478EA65B">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三次产业分类依据国家统计局2018年修订的《三次产业划分规定》，第一产业是指农、林、牧、渔业（不含农、林、牧、渔专业及辅助性活动）；第二产业是指采矿业（不含开采专业及辅助性活动），制造业（不含金属制品、机械和设备修理业），电力、热力、燃气及水生产和供应业，建筑业；第三产业即服务业，是指除第一产业、第二产业以外的其他行业（剔除国际组织）。</w:t>
      </w:r>
    </w:p>
    <w:p w14:paraId="4E48370B">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.工业战略性新兴产业根据国家统计局制定的《战略性新兴产业分类（2017）》确定。高技术制造业根据国家统计局制定的《高技术产业（制造业）分类（2017）》确定。</w:t>
      </w:r>
    </w:p>
    <w:p w14:paraId="62510B2F">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5、根据“当城镇（农村）样本量不足50户时，不得公开发布城镇（农村）居民收支数据当全年全区居民”的制度规定，2023年，全区居民人均可支配收入、农村居民人均可支配收入、居民人均消费支出、农村居民人均消费支出数据为城区统一数据。</w:t>
      </w:r>
    </w:p>
    <w:p w14:paraId="358FEB0A">
      <w:pPr>
        <w:pStyle w:val="7"/>
        <w:keepNext w:val="0"/>
        <w:keepLines w:val="0"/>
        <w:widowControl/>
        <w:suppressLineNumbers w:val="0"/>
        <w:wordWrap/>
        <w:spacing w:before="0" w:beforeAutospacing="0" w:after="0" w:afterAutospacing="0" w:line="540" w:lineRule="atLeast"/>
        <w:ind w:left="0" w:right="0" w:firstLine="480" w:firstLineChars="200"/>
        <w:rPr>
          <w:rFonts w:hint="default" w:ascii="仿宋" w:hAnsi="仿宋" w:eastAsia="仿宋" w:cs="仿宋"/>
          <w:color w:val="FF0000"/>
          <w:sz w:val="24"/>
          <w:szCs w:val="24"/>
          <w:lang w:val="en-US" w:eastAsia="zh-CN"/>
        </w:rPr>
      </w:pPr>
      <w:r>
        <w:rPr>
          <w:rFonts w:hint="eastAsia" w:ascii="仿宋" w:hAnsi="仿宋" w:eastAsia="仿宋" w:cs="仿宋"/>
          <w:color w:val="000000" w:themeColor="text1"/>
          <w:kern w:val="0"/>
          <w:sz w:val="24"/>
          <w:szCs w:val="24"/>
          <w:lang w:val="en-US" w:eastAsia="zh-CN" w:bidi="ar-SA"/>
          <w14:textFill>
            <w14:solidFill>
              <w14:schemeClr w14:val="tx1"/>
            </w14:solidFill>
          </w14:textFill>
        </w:rPr>
        <w:t>6、资料来源：本公报中城乡最低生活保障标准、救助城乡低保障人员、发放城乡最低生活保障金额、救助城乡特困人员、发放特困救助供养金额、临时救助困难群众人员，发放救助金额、“99”公益日募集公众筹款金额、办理结婚登记和离婚登记情况等数据来自区民政局；一般公共预算收入金额，一般公共预算支出金额等数据来自区财政局；金融机构各项人民币存贷款余额、上市公司、新三板挂牌公司、保险保费收入和赔款支出等数据来自区金融工作局；造林面积、参加义务植树人次、义务植树株数、自然保护区、森林公园、农作物受灾和经济损失等数据来自区农业农村局；艺术表演团体、文化设施、文物保护单位、非物质文化遗产项目、群众文体活动场次、体育健身活动次数、体育健身工程覆盖实施情况等数据来自区文化广电和旅游局；各类学校招生、在校、毕业人数、资助学生人数和金额等数据来自区教育局；高新技术企业、国家科技型中小企业、省节能减排科技创新示范企业、院士工作站数量、工程技术研究中心数量、省科学技术奖1项、技术合同登记额、各类科技政策性资金等数据来自区科技和工业信息化局；城乡居民基本养老保险人数、参加失业保险人数和参加失业保险人数等数据来自区人力资源和社会保障局；货物贸易进出口、实际使用外资等数据来自区商务局；参加基本医疗保险人数等数据来自区医疗保障局；公路通车里程、村村通油路或水泥路里程等数据来自区交通运输局；卫生机构、床位数、执业医师和注册护士人数等数据来自区卫健委；PM10年均浓度、PM2.5年均浓度、优良天数等数据来自中站生态环境分局；发生各类生产安全事故及死亡人数来自区应急管理局；其他数据来自区统计局。</w:t>
      </w:r>
    </w:p>
    <w:p w14:paraId="19F87BED">
      <w:pPr>
        <w:pStyle w:val="7"/>
        <w:keepNext w:val="0"/>
        <w:keepLines w:val="0"/>
        <w:pageBreakBefore w:val="0"/>
        <w:widowControl/>
        <w:kinsoku/>
        <w:wordWrap/>
        <w:overflowPunct/>
        <w:topLinePunct w:val="0"/>
        <w:autoSpaceDE/>
        <w:autoSpaceDN/>
        <w:bidi w:val="0"/>
        <w:adjustRightInd/>
        <w:snapToGrid/>
        <w:spacing w:line="560" w:lineRule="exact"/>
        <w:ind w:firstLine="480" w:firstLineChars="2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部分数据合计数或相对数由于单位取舍不同而产生的计算误差均未作机械调整。</w:t>
      </w:r>
    </w:p>
    <w:p w14:paraId="7D886D22">
      <w:pPr>
        <w:rPr>
          <w:rFonts w:ascii="仿宋" w:hAnsi="仿宋" w:eastAsia="仿宋" w:cs="仿宋"/>
          <w:color w:val="FF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E80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95A27">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5A395A2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38F316"/>
    <w:multiLevelType w:val="singleLevel"/>
    <w:tmpl w:val="4B38F31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ZTRhNjViZThkODMyNjFmNDQzNjZiZTVmYWI3NWYifQ=="/>
  </w:docVars>
  <w:rsids>
    <w:rsidRoot w:val="75D32B1E"/>
    <w:rsid w:val="00041EA3"/>
    <w:rsid w:val="000428E6"/>
    <w:rsid w:val="00082B3C"/>
    <w:rsid w:val="000859DA"/>
    <w:rsid w:val="000969AD"/>
    <w:rsid w:val="001A1DAE"/>
    <w:rsid w:val="001F7F7E"/>
    <w:rsid w:val="00201C1E"/>
    <w:rsid w:val="0024464A"/>
    <w:rsid w:val="00272F20"/>
    <w:rsid w:val="002E6413"/>
    <w:rsid w:val="003549D6"/>
    <w:rsid w:val="00385B80"/>
    <w:rsid w:val="003C43BB"/>
    <w:rsid w:val="00430C0A"/>
    <w:rsid w:val="0048298A"/>
    <w:rsid w:val="004C35CC"/>
    <w:rsid w:val="005213A2"/>
    <w:rsid w:val="005730FC"/>
    <w:rsid w:val="005F6255"/>
    <w:rsid w:val="006115C0"/>
    <w:rsid w:val="006123B1"/>
    <w:rsid w:val="006814B1"/>
    <w:rsid w:val="006D6F3B"/>
    <w:rsid w:val="00744BB3"/>
    <w:rsid w:val="007A159C"/>
    <w:rsid w:val="007A43C3"/>
    <w:rsid w:val="00831310"/>
    <w:rsid w:val="00902C2A"/>
    <w:rsid w:val="00933498"/>
    <w:rsid w:val="00973FB8"/>
    <w:rsid w:val="00995516"/>
    <w:rsid w:val="00A4512C"/>
    <w:rsid w:val="00B1089E"/>
    <w:rsid w:val="00B767A9"/>
    <w:rsid w:val="00C91165"/>
    <w:rsid w:val="00D01EFC"/>
    <w:rsid w:val="00D20B4D"/>
    <w:rsid w:val="00E53D07"/>
    <w:rsid w:val="00E56C41"/>
    <w:rsid w:val="00E7694E"/>
    <w:rsid w:val="00EA2817"/>
    <w:rsid w:val="00F76805"/>
    <w:rsid w:val="00FB72F2"/>
    <w:rsid w:val="00FC3E1B"/>
    <w:rsid w:val="01017684"/>
    <w:rsid w:val="01347A59"/>
    <w:rsid w:val="01453A14"/>
    <w:rsid w:val="01527EDF"/>
    <w:rsid w:val="01634AAB"/>
    <w:rsid w:val="01943F18"/>
    <w:rsid w:val="01A65484"/>
    <w:rsid w:val="01A73D87"/>
    <w:rsid w:val="01B6046E"/>
    <w:rsid w:val="01B74978"/>
    <w:rsid w:val="01BF5575"/>
    <w:rsid w:val="01C04E49"/>
    <w:rsid w:val="01C70348"/>
    <w:rsid w:val="01CA0D85"/>
    <w:rsid w:val="01D152A8"/>
    <w:rsid w:val="01E4091A"/>
    <w:rsid w:val="02025461"/>
    <w:rsid w:val="020B4C98"/>
    <w:rsid w:val="02225B04"/>
    <w:rsid w:val="02247086"/>
    <w:rsid w:val="02510197"/>
    <w:rsid w:val="02555ED9"/>
    <w:rsid w:val="026C1FFB"/>
    <w:rsid w:val="026E6F9B"/>
    <w:rsid w:val="02A76009"/>
    <w:rsid w:val="02B32C00"/>
    <w:rsid w:val="02B726F0"/>
    <w:rsid w:val="02D45050"/>
    <w:rsid w:val="02DA1F3A"/>
    <w:rsid w:val="02EB05EB"/>
    <w:rsid w:val="031F12CE"/>
    <w:rsid w:val="03237D85"/>
    <w:rsid w:val="035717DD"/>
    <w:rsid w:val="036D1000"/>
    <w:rsid w:val="03773C2D"/>
    <w:rsid w:val="037802C6"/>
    <w:rsid w:val="03942A31"/>
    <w:rsid w:val="03A36084"/>
    <w:rsid w:val="03B60BF9"/>
    <w:rsid w:val="03BB45AA"/>
    <w:rsid w:val="03BF6142"/>
    <w:rsid w:val="03CA406C"/>
    <w:rsid w:val="03CF0ABD"/>
    <w:rsid w:val="03D177E1"/>
    <w:rsid w:val="03DC540D"/>
    <w:rsid w:val="040A2CF3"/>
    <w:rsid w:val="043B2EAD"/>
    <w:rsid w:val="0442423B"/>
    <w:rsid w:val="045126D0"/>
    <w:rsid w:val="04601D53"/>
    <w:rsid w:val="04644730"/>
    <w:rsid w:val="048D195A"/>
    <w:rsid w:val="04936845"/>
    <w:rsid w:val="04A743F8"/>
    <w:rsid w:val="04C679B5"/>
    <w:rsid w:val="04D07A99"/>
    <w:rsid w:val="04EC7060"/>
    <w:rsid w:val="04ED064B"/>
    <w:rsid w:val="04FC6AE0"/>
    <w:rsid w:val="05025778"/>
    <w:rsid w:val="05145BD8"/>
    <w:rsid w:val="05153056"/>
    <w:rsid w:val="051C2CDE"/>
    <w:rsid w:val="052A52EE"/>
    <w:rsid w:val="0539362A"/>
    <w:rsid w:val="05773A30"/>
    <w:rsid w:val="05C70E9C"/>
    <w:rsid w:val="05D53406"/>
    <w:rsid w:val="05E82BC0"/>
    <w:rsid w:val="05F81055"/>
    <w:rsid w:val="0638308C"/>
    <w:rsid w:val="06420522"/>
    <w:rsid w:val="06514C09"/>
    <w:rsid w:val="066A57CB"/>
    <w:rsid w:val="068C79F0"/>
    <w:rsid w:val="06A44D39"/>
    <w:rsid w:val="06BA27AF"/>
    <w:rsid w:val="06C8767B"/>
    <w:rsid w:val="06DB44D3"/>
    <w:rsid w:val="06EB47E3"/>
    <w:rsid w:val="06ED1A3A"/>
    <w:rsid w:val="06F061D0"/>
    <w:rsid w:val="06F537E7"/>
    <w:rsid w:val="06FA27D5"/>
    <w:rsid w:val="070B051F"/>
    <w:rsid w:val="072145DC"/>
    <w:rsid w:val="073E53BF"/>
    <w:rsid w:val="07462294"/>
    <w:rsid w:val="075524D7"/>
    <w:rsid w:val="075F2594"/>
    <w:rsid w:val="07691ADF"/>
    <w:rsid w:val="077C1812"/>
    <w:rsid w:val="07833724"/>
    <w:rsid w:val="078A174F"/>
    <w:rsid w:val="079175D5"/>
    <w:rsid w:val="079F3753"/>
    <w:rsid w:val="07B436A2"/>
    <w:rsid w:val="07B976C5"/>
    <w:rsid w:val="080F15E4"/>
    <w:rsid w:val="08234384"/>
    <w:rsid w:val="0837011C"/>
    <w:rsid w:val="083D5445"/>
    <w:rsid w:val="084F33CB"/>
    <w:rsid w:val="084F478B"/>
    <w:rsid w:val="08612A73"/>
    <w:rsid w:val="08714021"/>
    <w:rsid w:val="089A1325"/>
    <w:rsid w:val="08B5322E"/>
    <w:rsid w:val="08BA4CE8"/>
    <w:rsid w:val="08C94F2B"/>
    <w:rsid w:val="08CE42EF"/>
    <w:rsid w:val="08F301FA"/>
    <w:rsid w:val="09075A53"/>
    <w:rsid w:val="093305F6"/>
    <w:rsid w:val="0946032A"/>
    <w:rsid w:val="096B378F"/>
    <w:rsid w:val="097053A7"/>
    <w:rsid w:val="09756E61"/>
    <w:rsid w:val="098A47B6"/>
    <w:rsid w:val="099B1542"/>
    <w:rsid w:val="09B2776D"/>
    <w:rsid w:val="09B87FCE"/>
    <w:rsid w:val="09D43B87"/>
    <w:rsid w:val="09DB4F16"/>
    <w:rsid w:val="09E76BEE"/>
    <w:rsid w:val="0A1E3055"/>
    <w:rsid w:val="0A356BC7"/>
    <w:rsid w:val="0A36019B"/>
    <w:rsid w:val="0A4505E1"/>
    <w:rsid w:val="0A5627EE"/>
    <w:rsid w:val="0A5D3B7D"/>
    <w:rsid w:val="0A670558"/>
    <w:rsid w:val="0A713900"/>
    <w:rsid w:val="0A79472F"/>
    <w:rsid w:val="0A80786B"/>
    <w:rsid w:val="0A984BB5"/>
    <w:rsid w:val="0A9F4195"/>
    <w:rsid w:val="0AC31DC9"/>
    <w:rsid w:val="0AD83203"/>
    <w:rsid w:val="0ADD2F10"/>
    <w:rsid w:val="0AE61DC4"/>
    <w:rsid w:val="0AEC7FD0"/>
    <w:rsid w:val="0AFE12F5"/>
    <w:rsid w:val="0B297647"/>
    <w:rsid w:val="0B3F3C64"/>
    <w:rsid w:val="0B472137"/>
    <w:rsid w:val="0B5C3E34"/>
    <w:rsid w:val="0B5F6506"/>
    <w:rsid w:val="0B6131F9"/>
    <w:rsid w:val="0B6D6042"/>
    <w:rsid w:val="0B9244AD"/>
    <w:rsid w:val="0BA65D7A"/>
    <w:rsid w:val="0BC0456A"/>
    <w:rsid w:val="0BC814CA"/>
    <w:rsid w:val="0BDB2B67"/>
    <w:rsid w:val="0C0369A6"/>
    <w:rsid w:val="0C061FF2"/>
    <w:rsid w:val="0C2C3B88"/>
    <w:rsid w:val="0C380D85"/>
    <w:rsid w:val="0C452B1A"/>
    <w:rsid w:val="0C57284E"/>
    <w:rsid w:val="0C5E1E2E"/>
    <w:rsid w:val="0C871385"/>
    <w:rsid w:val="0C9475FE"/>
    <w:rsid w:val="0CA535B9"/>
    <w:rsid w:val="0CC57ACD"/>
    <w:rsid w:val="0CC954FA"/>
    <w:rsid w:val="0CCE0D62"/>
    <w:rsid w:val="0CD81FE0"/>
    <w:rsid w:val="0CE93A79"/>
    <w:rsid w:val="0CEA36C2"/>
    <w:rsid w:val="0CF54541"/>
    <w:rsid w:val="0D002EE5"/>
    <w:rsid w:val="0D054058"/>
    <w:rsid w:val="0D140704"/>
    <w:rsid w:val="0D197B03"/>
    <w:rsid w:val="0D1B236A"/>
    <w:rsid w:val="0D244E26"/>
    <w:rsid w:val="0D417786"/>
    <w:rsid w:val="0D4C612B"/>
    <w:rsid w:val="0D542E96"/>
    <w:rsid w:val="0D5A276F"/>
    <w:rsid w:val="0D7D3ED3"/>
    <w:rsid w:val="0D821B4C"/>
    <w:rsid w:val="0D9D24E2"/>
    <w:rsid w:val="0DA73B82"/>
    <w:rsid w:val="0DA87805"/>
    <w:rsid w:val="0DAC1C3E"/>
    <w:rsid w:val="0DB00467"/>
    <w:rsid w:val="0DF540CC"/>
    <w:rsid w:val="0DFA7935"/>
    <w:rsid w:val="0E013747"/>
    <w:rsid w:val="0E16593F"/>
    <w:rsid w:val="0E1B7FD7"/>
    <w:rsid w:val="0E5708C4"/>
    <w:rsid w:val="0E5928AD"/>
    <w:rsid w:val="0E5A03D3"/>
    <w:rsid w:val="0E894D27"/>
    <w:rsid w:val="0E8C446E"/>
    <w:rsid w:val="0E9909B8"/>
    <w:rsid w:val="0E99670C"/>
    <w:rsid w:val="0ECF491D"/>
    <w:rsid w:val="0EE505E5"/>
    <w:rsid w:val="0F0A1DF9"/>
    <w:rsid w:val="0F346E76"/>
    <w:rsid w:val="0F362BEE"/>
    <w:rsid w:val="0F3B0205"/>
    <w:rsid w:val="0F4A3E67"/>
    <w:rsid w:val="0F515C7A"/>
    <w:rsid w:val="0F5337A0"/>
    <w:rsid w:val="0F747687"/>
    <w:rsid w:val="0F781459"/>
    <w:rsid w:val="0F7A6F7F"/>
    <w:rsid w:val="0FA2064B"/>
    <w:rsid w:val="0FA32AAF"/>
    <w:rsid w:val="0FA61B22"/>
    <w:rsid w:val="0FB40474"/>
    <w:rsid w:val="0FFD4225"/>
    <w:rsid w:val="0FFF56D6"/>
    <w:rsid w:val="10086339"/>
    <w:rsid w:val="100E3C08"/>
    <w:rsid w:val="10134CDE"/>
    <w:rsid w:val="10191164"/>
    <w:rsid w:val="102173FB"/>
    <w:rsid w:val="102B0279"/>
    <w:rsid w:val="103C51F6"/>
    <w:rsid w:val="104E0165"/>
    <w:rsid w:val="10750EEC"/>
    <w:rsid w:val="107C0AD5"/>
    <w:rsid w:val="10863702"/>
    <w:rsid w:val="108F0808"/>
    <w:rsid w:val="108F6A5A"/>
    <w:rsid w:val="10925A7C"/>
    <w:rsid w:val="109852EC"/>
    <w:rsid w:val="109C2F25"/>
    <w:rsid w:val="10C06C14"/>
    <w:rsid w:val="10C27336"/>
    <w:rsid w:val="10C61D50"/>
    <w:rsid w:val="10D64689"/>
    <w:rsid w:val="10D6635B"/>
    <w:rsid w:val="11234432"/>
    <w:rsid w:val="11351FC9"/>
    <w:rsid w:val="11405FA6"/>
    <w:rsid w:val="116E041E"/>
    <w:rsid w:val="118916FB"/>
    <w:rsid w:val="119D229A"/>
    <w:rsid w:val="11B2284A"/>
    <w:rsid w:val="11C5740C"/>
    <w:rsid w:val="11C97D4A"/>
    <w:rsid w:val="11E15093"/>
    <w:rsid w:val="11EE6BF4"/>
    <w:rsid w:val="12086AC4"/>
    <w:rsid w:val="121D69D6"/>
    <w:rsid w:val="122B4943"/>
    <w:rsid w:val="124444F2"/>
    <w:rsid w:val="124F0883"/>
    <w:rsid w:val="12521AED"/>
    <w:rsid w:val="12A32349"/>
    <w:rsid w:val="12EC77C1"/>
    <w:rsid w:val="12FB2185"/>
    <w:rsid w:val="12FE7EC7"/>
    <w:rsid w:val="1303728B"/>
    <w:rsid w:val="13190E51"/>
    <w:rsid w:val="13225964"/>
    <w:rsid w:val="1347361C"/>
    <w:rsid w:val="135D5BA6"/>
    <w:rsid w:val="136057B9"/>
    <w:rsid w:val="13655850"/>
    <w:rsid w:val="13741F37"/>
    <w:rsid w:val="13750189"/>
    <w:rsid w:val="13783CEF"/>
    <w:rsid w:val="137B5074"/>
    <w:rsid w:val="137D4E72"/>
    <w:rsid w:val="13DE2CBE"/>
    <w:rsid w:val="13EB3FA7"/>
    <w:rsid w:val="13EE5846"/>
    <w:rsid w:val="140B4AED"/>
    <w:rsid w:val="14180502"/>
    <w:rsid w:val="141F1528"/>
    <w:rsid w:val="14396398"/>
    <w:rsid w:val="14667AD2"/>
    <w:rsid w:val="147A17CF"/>
    <w:rsid w:val="14847F58"/>
    <w:rsid w:val="148A3535"/>
    <w:rsid w:val="14A376BB"/>
    <w:rsid w:val="14A437A0"/>
    <w:rsid w:val="14A800EA"/>
    <w:rsid w:val="14A91E64"/>
    <w:rsid w:val="14AE2DAD"/>
    <w:rsid w:val="14B06F9F"/>
    <w:rsid w:val="14D7452C"/>
    <w:rsid w:val="14DB226E"/>
    <w:rsid w:val="14E1184E"/>
    <w:rsid w:val="151920E1"/>
    <w:rsid w:val="152E4A94"/>
    <w:rsid w:val="155E2E9F"/>
    <w:rsid w:val="15681628"/>
    <w:rsid w:val="15710277"/>
    <w:rsid w:val="157B57FF"/>
    <w:rsid w:val="15995E7A"/>
    <w:rsid w:val="15A71EC1"/>
    <w:rsid w:val="15B4486D"/>
    <w:rsid w:val="15BE6DAB"/>
    <w:rsid w:val="15C2342E"/>
    <w:rsid w:val="15F15AC1"/>
    <w:rsid w:val="15FF3D3A"/>
    <w:rsid w:val="160A42F0"/>
    <w:rsid w:val="16210154"/>
    <w:rsid w:val="16457A62"/>
    <w:rsid w:val="16473A81"/>
    <w:rsid w:val="165E3157"/>
    <w:rsid w:val="166A6559"/>
    <w:rsid w:val="16826719"/>
    <w:rsid w:val="168B3A44"/>
    <w:rsid w:val="169A1213"/>
    <w:rsid w:val="169C3C7F"/>
    <w:rsid w:val="16A3500D"/>
    <w:rsid w:val="16CA1510"/>
    <w:rsid w:val="16CC5ACB"/>
    <w:rsid w:val="16CF0EC8"/>
    <w:rsid w:val="16D46E2A"/>
    <w:rsid w:val="16D630A4"/>
    <w:rsid w:val="16DB0BA3"/>
    <w:rsid w:val="16DC051F"/>
    <w:rsid w:val="16EC657B"/>
    <w:rsid w:val="16FA39D0"/>
    <w:rsid w:val="17101F77"/>
    <w:rsid w:val="1723076A"/>
    <w:rsid w:val="173739A8"/>
    <w:rsid w:val="176A7232"/>
    <w:rsid w:val="178A3AD7"/>
    <w:rsid w:val="17AF79E2"/>
    <w:rsid w:val="17B945C0"/>
    <w:rsid w:val="17CF3BE0"/>
    <w:rsid w:val="17D17958"/>
    <w:rsid w:val="17F04282"/>
    <w:rsid w:val="17F673BF"/>
    <w:rsid w:val="18041ADC"/>
    <w:rsid w:val="183C604C"/>
    <w:rsid w:val="184C3483"/>
    <w:rsid w:val="18550589"/>
    <w:rsid w:val="18567E5D"/>
    <w:rsid w:val="185F4F64"/>
    <w:rsid w:val="188239F0"/>
    <w:rsid w:val="18910E95"/>
    <w:rsid w:val="18A312F5"/>
    <w:rsid w:val="18A4506D"/>
    <w:rsid w:val="18B352B0"/>
    <w:rsid w:val="18CF3CB8"/>
    <w:rsid w:val="18DB7FA7"/>
    <w:rsid w:val="18EB2629"/>
    <w:rsid w:val="1903609F"/>
    <w:rsid w:val="190D2F64"/>
    <w:rsid w:val="190D7898"/>
    <w:rsid w:val="19227658"/>
    <w:rsid w:val="19235F91"/>
    <w:rsid w:val="19365251"/>
    <w:rsid w:val="193B52E8"/>
    <w:rsid w:val="193F7204"/>
    <w:rsid w:val="195C14A3"/>
    <w:rsid w:val="19665E27"/>
    <w:rsid w:val="197176DE"/>
    <w:rsid w:val="19762565"/>
    <w:rsid w:val="19A54D92"/>
    <w:rsid w:val="19BB5403"/>
    <w:rsid w:val="19BE3F0C"/>
    <w:rsid w:val="19C77265"/>
    <w:rsid w:val="19D92AF4"/>
    <w:rsid w:val="19DB4ABE"/>
    <w:rsid w:val="19F05074"/>
    <w:rsid w:val="19F31730"/>
    <w:rsid w:val="1A0C3F20"/>
    <w:rsid w:val="1A11228E"/>
    <w:rsid w:val="1A15545B"/>
    <w:rsid w:val="1A1661CA"/>
    <w:rsid w:val="1A271AB1"/>
    <w:rsid w:val="1A4268EB"/>
    <w:rsid w:val="1A676352"/>
    <w:rsid w:val="1A6B4094"/>
    <w:rsid w:val="1A7E0C69"/>
    <w:rsid w:val="1A9E4AB4"/>
    <w:rsid w:val="1AC333F8"/>
    <w:rsid w:val="1AD41E4A"/>
    <w:rsid w:val="1AE300CE"/>
    <w:rsid w:val="1AF000F5"/>
    <w:rsid w:val="1AF57E02"/>
    <w:rsid w:val="1AF75928"/>
    <w:rsid w:val="1B1C713C"/>
    <w:rsid w:val="1B1D597D"/>
    <w:rsid w:val="1B214920"/>
    <w:rsid w:val="1B281F85"/>
    <w:rsid w:val="1B2D759B"/>
    <w:rsid w:val="1B4169AB"/>
    <w:rsid w:val="1B5C5FCB"/>
    <w:rsid w:val="1B8D1DE8"/>
    <w:rsid w:val="1B993335"/>
    <w:rsid w:val="1B9F38C9"/>
    <w:rsid w:val="1BB472B8"/>
    <w:rsid w:val="1BCA0B6E"/>
    <w:rsid w:val="1BE340FE"/>
    <w:rsid w:val="1BEC2FB3"/>
    <w:rsid w:val="1BEF2AA3"/>
    <w:rsid w:val="1BF73705"/>
    <w:rsid w:val="1C023003"/>
    <w:rsid w:val="1C025840"/>
    <w:rsid w:val="1C2E646B"/>
    <w:rsid w:val="1C3B1844"/>
    <w:rsid w:val="1C450915"/>
    <w:rsid w:val="1C8256C5"/>
    <w:rsid w:val="1C9660A5"/>
    <w:rsid w:val="1C9F1DD3"/>
    <w:rsid w:val="1CBB5A90"/>
    <w:rsid w:val="1CE974F2"/>
    <w:rsid w:val="1CFF6D16"/>
    <w:rsid w:val="1D1C78C7"/>
    <w:rsid w:val="1D326E93"/>
    <w:rsid w:val="1D44260C"/>
    <w:rsid w:val="1D6B6159"/>
    <w:rsid w:val="1D7274E7"/>
    <w:rsid w:val="1D8334A3"/>
    <w:rsid w:val="1D972DAB"/>
    <w:rsid w:val="1DA17DCD"/>
    <w:rsid w:val="1DAF05B3"/>
    <w:rsid w:val="1DB23D88"/>
    <w:rsid w:val="1DEA1774"/>
    <w:rsid w:val="1DEC706D"/>
    <w:rsid w:val="1E0C793C"/>
    <w:rsid w:val="1E220F0E"/>
    <w:rsid w:val="1E2C3B3A"/>
    <w:rsid w:val="1E311151"/>
    <w:rsid w:val="1E445058"/>
    <w:rsid w:val="1E553C4C"/>
    <w:rsid w:val="1E5C77AF"/>
    <w:rsid w:val="1E6F77DF"/>
    <w:rsid w:val="1E731769"/>
    <w:rsid w:val="1E7B16F8"/>
    <w:rsid w:val="1E96080A"/>
    <w:rsid w:val="1EA7598F"/>
    <w:rsid w:val="1EB57765"/>
    <w:rsid w:val="1ECB5101"/>
    <w:rsid w:val="1F0143D2"/>
    <w:rsid w:val="1F296668"/>
    <w:rsid w:val="1F39249A"/>
    <w:rsid w:val="1F784B5D"/>
    <w:rsid w:val="1F7C464D"/>
    <w:rsid w:val="1FCB1131"/>
    <w:rsid w:val="1FD71884"/>
    <w:rsid w:val="1FDB75C6"/>
    <w:rsid w:val="1FDF25FF"/>
    <w:rsid w:val="1FF730FD"/>
    <w:rsid w:val="20111287"/>
    <w:rsid w:val="201E1F01"/>
    <w:rsid w:val="201F53B1"/>
    <w:rsid w:val="2020322B"/>
    <w:rsid w:val="202D5948"/>
    <w:rsid w:val="203211B0"/>
    <w:rsid w:val="204825AF"/>
    <w:rsid w:val="20484530"/>
    <w:rsid w:val="205A494F"/>
    <w:rsid w:val="205B24B5"/>
    <w:rsid w:val="2072468A"/>
    <w:rsid w:val="20724974"/>
    <w:rsid w:val="207E493E"/>
    <w:rsid w:val="208732AA"/>
    <w:rsid w:val="20A0436C"/>
    <w:rsid w:val="20AC2D10"/>
    <w:rsid w:val="20C77B4A"/>
    <w:rsid w:val="20F47953"/>
    <w:rsid w:val="21051CA7"/>
    <w:rsid w:val="21192919"/>
    <w:rsid w:val="212339B6"/>
    <w:rsid w:val="2127683B"/>
    <w:rsid w:val="212D5E52"/>
    <w:rsid w:val="21317A7A"/>
    <w:rsid w:val="21354AB4"/>
    <w:rsid w:val="214058BF"/>
    <w:rsid w:val="21410CD7"/>
    <w:rsid w:val="214271D1"/>
    <w:rsid w:val="217A4BBD"/>
    <w:rsid w:val="217E5C39"/>
    <w:rsid w:val="217F21D3"/>
    <w:rsid w:val="21A659B2"/>
    <w:rsid w:val="21DE0C2D"/>
    <w:rsid w:val="21FE759C"/>
    <w:rsid w:val="2208041A"/>
    <w:rsid w:val="2217240B"/>
    <w:rsid w:val="221E19EC"/>
    <w:rsid w:val="22350AE4"/>
    <w:rsid w:val="2237485C"/>
    <w:rsid w:val="2241051D"/>
    <w:rsid w:val="225418B2"/>
    <w:rsid w:val="22547CC7"/>
    <w:rsid w:val="22645955"/>
    <w:rsid w:val="226514F4"/>
    <w:rsid w:val="229D440A"/>
    <w:rsid w:val="22BF3AAD"/>
    <w:rsid w:val="22CA3922"/>
    <w:rsid w:val="22D4654E"/>
    <w:rsid w:val="22D87DED"/>
    <w:rsid w:val="22E744D4"/>
    <w:rsid w:val="22FF31BA"/>
    <w:rsid w:val="230F7587"/>
    <w:rsid w:val="23337719"/>
    <w:rsid w:val="234B76E0"/>
    <w:rsid w:val="234C07DB"/>
    <w:rsid w:val="23502079"/>
    <w:rsid w:val="23694EE9"/>
    <w:rsid w:val="236B120B"/>
    <w:rsid w:val="238D507B"/>
    <w:rsid w:val="23A06262"/>
    <w:rsid w:val="23DD461A"/>
    <w:rsid w:val="24062738"/>
    <w:rsid w:val="242641B0"/>
    <w:rsid w:val="242673A6"/>
    <w:rsid w:val="242F7EE0"/>
    <w:rsid w:val="244A2F6C"/>
    <w:rsid w:val="244A6AC8"/>
    <w:rsid w:val="245A1973"/>
    <w:rsid w:val="246833F2"/>
    <w:rsid w:val="24885842"/>
    <w:rsid w:val="24B228BF"/>
    <w:rsid w:val="24B65F0C"/>
    <w:rsid w:val="24CD14A7"/>
    <w:rsid w:val="24D25C14"/>
    <w:rsid w:val="24D97E4C"/>
    <w:rsid w:val="24E01EA8"/>
    <w:rsid w:val="24E16D01"/>
    <w:rsid w:val="24EF7670"/>
    <w:rsid w:val="25096670"/>
    <w:rsid w:val="253B7E2A"/>
    <w:rsid w:val="254974E0"/>
    <w:rsid w:val="255174C7"/>
    <w:rsid w:val="256718FC"/>
    <w:rsid w:val="256938F4"/>
    <w:rsid w:val="257527D8"/>
    <w:rsid w:val="259124D5"/>
    <w:rsid w:val="25A77F4A"/>
    <w:rsid w:val="25B032A3"/>
    <w:rsid w:val="25C46078"/>
    <w:rsid w:val="25D115E1"/>
    <w:rsid w:val="25DA0320"/>
    <w:rsid w:val="25E42F4C"/>
    <w:rsid w:val="26094761"/>
    <w:rsid w:val="260B2287"/>
    <w:rsid w:val="260E53C8"/>
    <w:rsid w:val="262B2929"/>
    <w:rsid w:val="26457D7B"/>
    <w:rsid w:val="26527EB6"/>
    <w:rsid w:val="26541E80"/>
    <w:rsid w:val="26606A77"/>
    <w:rsid w:val="266B0F78"/>
    <w:rsid w:val="26780E08"/>
    <w:rsid w:val="267E186D"/>
    <w:rsid w:val="26A30712"/>
    <w:rsid w:val="26BB304D"/>
    <w:rsid w:val="26BC7A25"/>
    <w:rsid w:val="26C50688"/>
    <w:rsid w:val="26CF7AEC"/>
    <w:rsid w:val="26D66D39"/>
    <w:rsid w:val="26E054C2"/>
    <w:rsid w:val="26E5094A"/>
    <w:rsid w:val="26F412B7"/>
    <w:rsid w:val="270D202F"/>
    <w:rsid w:val="271D04C4"/>
    <w:rsid w:val="2727357C"/>
    <w:rsid w:val="27277595"/>
    <w:rsid w:val="273146AC"/>
    <w:rsid w:val="27475541"/>
    <w:rsid w:val="275D1833"/>
    <w:rsid w:val="275D2FB6"/>
    <w:rsid w:val="27651E6B"/>
    <w:rsid w:val="27843EBD"/>
    <w:rsid w:val="278818BE"/>
    <w:rsid w:val="27916CFA"/>
    <w:rsid w:val="27950FB5"/>
    <w:rsid w:val="27960276"/>
    <w:rsid w:val="279664C8"/>
    <w:rsid w:val="279F4C64"/>
    <w:rsid w:val="27A20FE9"/>
    <w:rsid w:val="27A4153B"/>
    <w:rsid w:val="27A54E4E"/>
    <w:rsid w:val="27A75FE0"/>
    <w:rsid w:val="27A91D58"/>
    <w:rsid w:val="27B64475"/>
    <w:rsid w:val="27C70430"/>
    <w:rsid w:val="27C9064C"/>
    <w:rsid w:val="27D86AE1"/>
    <w:rsid w:val="27DC212D"/>
    <w:rsid w:val="27EB2370"/>
    <w:rsid w:val="27F45061"/>
    <w:rsid w:val="27F751B9"/>
    <w:rsid w:val="28017DE6"/>
    <w:rsid w:val="2810627B"/>
    <w:rsid w:val="282E04AF"/>
    <w:rsid w:val="28302479"/>
    <w:rsid w:val="285A5748"/>
    <w:rsid w:val="286D0FD7"/>
    <w:rsid w:val="28750910"/>
    <w:rsid w:val="287E7613"/>
    <w:rsid w:val="28A43E8F"/>
    <w:rsid w:val="28AB7D51"/>
    <w:rsid w:val="28BA1D43"/>
    <w:rsid w:val="28CA01D8"/>
    <w:rsid w:val="28E60D8A"/>
    <w:rsid w:val="2916166F"/>
    <w:rsid w:val="296879F1"/>
    <w:rsid w:val="298C3AA9"/>
    <w:rsid w:val="29A72C75"/>
    <w:rsid w:val="29C63095"/>
    <w:rsid w:val="29CD4916"/>
    <w:rsid w:val="29E00EFE"/>
    <w:rsid w:val="29E928DF"/>
    <w:rsid w:val="29F12D2D"/>
    <w:rsid w:val="29F46316"/>
    <w:rsid w:val="29FA6CC9"/>
    <w:rsid w:val="2A060B46"/>
    <w:rsid w:val="2A514B25"/>
    <w:rsid w:val="2A9E191C"/>
    <w:rsid w:val="2AA2056F"/>
    <w:rsid w:val="2AB729DE"/>
    <w:rsid w:val="2AD13CA0"/>
    <w:rsid w:val="2AD4533E"/>
    <w:rsid w:val="2AF1427A"/>
    <w:rsid w:val="2AFC2AE6"/>
    <w:rsid w:val="2AFD1EAA"/>
    <w:rsid w:val="2B1E2A5D"/>
    <w:rsid w:val="2B2142FB"/>
    <w:rsid w:val="2B342280"/>
    <w:rsid w:val="2B612949"/>
    <w:rsid w:val="2B7C5330"/>
    <w:rsid w:val="2BAF1907"/>
    <w:rsid w:val="2BB05DAB"/>
    <w:rsid w:val="2BD80E5D"/>
    <w:rsid w:val="2BD96290"/>
    <w:rsid w:val="2BE315B0"/>
    <w:rsid w:val="2BE45A54"/>
    <w:rsid w:val="2BE5357A"/>
    <w:rsid w:val="2BE772F2"/>
    <w:rsid w:val="2BEB0CFB"/>
    <w:rsid w:val="2C0C6D59"/>
    <w:rsid w:val="2C484235"/>
    <w:rsid w:val="2C49281B"/>
    <w:rsid w:val="2C695F59"/>
    <w:rsid w:val="2C820DC9"/>
    <w:rsid w:val="2C956D4E"/>
    <w:rsid w:val="2C9B2631"/>
    <w:rsid w:val="2CB2345D"/>
    <w:rsid w:val="2CB43679"/>
    <w:rsid w:val="2CBB7F9F"/>
    <w:rsid w:val="2CC55886"/>
    <w:rsid w:val="2CF41CC7"/>
    <w:rsid w:val="2CF47F19"/>
    <w:rsid w:val="2CF577ED"/>
    <w:rsid w:val="2CFB3D8A"/>
    <w:rsid w:val="2D3A16A4"/>
    <w:rsid w:val="2D613ABF"/>
    <w:rsid w:val="2D6706EB"/>
    <w:rsid w:val="2D6F23DE"/>
    <w:rsid w:val="2D7746A6"/>
    <w:rsid w:val="2D9E60D7"/>
    <w:rsid w:val="2DA0091A"/>
    <w:rsid w:val="2DAF2092"/>
    <w:rsid w:val="2DC378EB"/>
    <w:rsid w:val="2DCC49F2"/>
    <w:rsid w:val="2DFA7533"/>
    <w:rsid w:val="2E083AB4"/>
    <w:rsid w:val="2E0979F4"/>
    <w:rsid w:val="2E187C37"/>
    <w:rsid w:val="2E3B3926"/>
    <w:rsid w:val="2E3D144C"/>
    <w:rsid w:val="2E3E76ED"/>
    <w:rsid w:val="2E432A80"/>
    <w:rsid w:val="2E68261C"/>
    <w:rsid w:val="2E6D51E7"/>
    <w:rsid w:val="2E7E58A8"/>
    <w:rsid w:val="2E8C4181"/>
    <w:rsid w:val="2E950E26"/>
    <w:rsid w:val="2E9A25D8"/>
    <w:rsid w:val="2EB6049D"/>
    <w:rsid w:val="2EBB3DDD"/>
    <w:rsid w:val="2EBE07DF"/>
    <w:rsid w:val="2EC52F9A"/>
    <w:rsid w:val="2EE82402"/>
    <w:rsid w:val="2EEE67F3"/>
    <w:rsid w:val="2EFE0BDB"/>
    <w:rsid w:val="2F0F2DE8"/>
    <w:rsid w:val="2F1403FE"/>
    <w:rsid w:val="2F3565C7"/>
    <w:rsid w:val="2F427627"/>
    <w:rsid w:val="2F477220"/>
    <w:rsid w:val="2F776BDF"/>
    <w:rsid w:val="2FA35866"/>
    <w:rsid w:val="2FBE65BC"/>
    <w:rsid w:val="2FD858D0"/>
    <w:rsid w:val="2FEE6EA1"/>
    <w:rsid w:val="2FF63FA8"/>
    <w:rsid w:val="300422BD"/>
    <w:rsid w:val="301601A6"/>
    <w:rsid w:val="30201025"/>
    <w:rsid w:val="3029612C"/>
    <w:rsid w:val="302B2FD8"/>
    <w:rsid w:val="302E5A2A"/>
    <w:rsid w:val="30322AC0"/>
    <w:rsid w:val="30727EDD"/>
    <w:rsid w:val="30742770"/>
    <w:rsid w:val="309C0A74"/>
    <w:rsid w:val="30A21A3A"/>
    <w:rsid w:val="30AB6B41"/>
    <w:rsid w:val="30AC4667"/>
    <w:rsid w:val="30B654E5"/>
    <w:rsid w:val="30CF71A4"/>
    <w:rsid w:val="30F46739"/>
    <w:rsid w:val="310E0E7D"/>
    <w:rsid w:val="31126BC0"/>
    <w:rsid w:val="31321010"/>
    <w:rsid w:val="313A65C2"/>
    <w:rsid w:val="313F3781"/>
    <w:rsid w:val="314B20D2"/>
    <w:rsid w:val="316F7D26"/>
    <w:rsid w:val="31753528"/>
    <w:rsid w:val="31953880"/>
    <w:rsid w:val="31A812D2"/>
    <w:rsid w:val="31D17310"/>
    <w:rsid w:val="31D9592F"/>
    <w:rsid w:val="31EC5663"/>
    <w:rsid w:val="31ED3E23"/>
    <w:rsid w:val="321101F9"/>
    <w:rsid w:val="32127EA5"/>
    <w:rsid w:val="32326DEE"/>
    <w:rsid w:val="32456B21"/>
    <w:rsid w:val="32597690"/>
    <w:rsid w:val="32676A97"/>
    <w:rsid w:val="327411B4"/>
    <w:rsid w:val="32794452"/>
    <w:rsid w:val="327B0795"/>
    <w:rsid w:val="32887FC7"/>
    <w:rsid w:val="329905F0"/>
    <w:rsid w:val="32D10501"/>
    <w:rsid w:val="32D70700"/>
    <w:rsid w:val="32D83E39"/>
    <w:rsid w:val="32ED1692"/>
    <w:rsid w:val="331F3816"/>
    <w:rsid w:val="33201F23"/>
    <w:rsid w:val="333358E4"/>
    <w:rsid w:val="33705E1F"/>
    <w:rsid w:val="33781E43"/>
    <w:rsid w:val="338A5133"/>
    <w:rsid w:val="33A7763E"/>
    <w:rsid w:val="33B45D0C"/>
    <w:rsid w:val="33E505BB"/>
    <w:rsid w:val="33E5680D"/>
    <w:rsid w:val="33F627C9"/>
    <w:rsid w:val="33FE167D"/>
    <w:rsid w:val="34034EE6"/>
    <w:rsid w:val="340C3D9A"/>
    <w:rsid w:val="342C4EC8"/>
    <w:rsid w:val="342C7F98"/>
    <w:rsid w:val="34311A53"/>
    <w:rsid w:val="34374DF8"/>
    <w:rsid w:val="3464452F"/>
    <w:rsid w:val="346F0CAD"/>
    <w:rsid w:val="347C1AB2"/>
    <w:rsid w:val="34CE214D"/>
    <w:rsid w:val="34F211E2"/>
    <w:rsid w:val="34F715C7"/>
    <w:rsid w:val="35004F81"/>
    <w:rsid w:val="35571045"/>
    <w:rsid w:val="355768CE"/>
    <w:rsid w:val="35647C06"/>
    <w:rsid w:val="35977693"/>
    <w:rsid w:val="35C607AA"/>
    <w:rsid w:val="35DE41F4"/>
    <w:rsid w:val="35E30B2B"/>
    <w:rsid w:val="35FE3BB6"/>
    <w:rsid w:val="36236F7B"/>
    <w:rsid w:val="36343134"/>
    <w:rsid w:val="36421A71"/>
    <w:rsid w:val="36483084"/>
    <w:rsid w:val="364D4390"/>
    <w:rsid w:val="364E58BC"/>
    <w:rsid w:val="367F38FD"/>
    <w:rsid w:val="36AD2EE7"/>
    <w:rsid w:val="36BC7A7B"/>
    <w:rsid w:val="36C4095C"/>
    <w:rsid w:val="36DD220B"/>
    <w:rsid w:val="36DD37CC"/>
    <w:rsid w:val="36DD557A"/>
    <w:rsid w:val="36EA5A89"/>
    <w:rsid w:val="36EB5FB2"/>
    <w:rsid w:val="36ED4944"/>
    <w:rsid w:val="3700570C"/>
    <w:rsid w:val="370276D6"/>
    <w:rsid w:val="37076A9B"/>
    <w:rsid w:val="370D4395"/>
    <w:rsid w:val="37410209"/>
    <w:rsid w:val="376379C1"/>
    <w:rsid w:val="3772660A"/>
    <w:rsid w:val="37737C8C"/>
    <w:rsid w:val="37772A4E"/>
    <w:rsid w:val="37806E25"/>
    <w:rsid w:val="37895702"/>
    <w:rsid w:val="379C71E3"/>
    <w:rsid w:val="37A12A4B"/>
    <w:rsid w:val="37AB37BE"/>
    <w:rsid w:val="37AD1DE2"/>
    <w:rsid w:val="37BC7885"/>
    <w:rsid w:val="37E53F53"/>
    <w:rsid w:val="38064D7C"/>
    <w:rsid w:val="380F0FA0"/>
    <w:rsid w:val="38196A86"/>
    <w:rsid w:val="38451629"/>
    <w:rsid w:val="385B17DF"/>
    <w:rsid w:val="38644B89"/>
    <w:rsid w:val="38795776"/>
    <w:rsid w:val="388A117B"/>
    <w:rsid w:val="388C36FB"/>
    <w:rsid w:val="3893203C"/>
    <w:rsid w:val="38A073B4"/>
    <w:rsid w:val="38AD7F63"/>
    <w:rsid w:val="38B769E8"/>
    <w:rsid w:val="38C86055"/>
    <w:rsid w:val="38DF26A8"/>
    <w:rsid w:val="38F60B75"/>
    <w:rsid w:val="391515EB"/>
    <w:rsid w:val="3929719C"/>
    <w:rsid w:val="392E6561"/>
    <w:rsid w:val="39386DAA"/>
    <w:rsid w:val="394D6D52"/>
    <w:rsid w:val="394E09B1"/>
    <w:rsid w:val="39697599"/>
    <w:rsid w:val="396C0E37"/>
    <w:rsid w:val="397228F1"/>
    <w:rsid w:val="397F6DBC"/>
    <w:rsid w:val="39900FC9"/>
    <w:rsid w:val="39923CC5"/>
    <w:rsid w:val="39930ABA"/>
    <w:rsid w:val="39A13AF4"/>
    <w:rsid w:val="39A46823"/>
    <w:rsid w:val="39BE5B37"/>
    <w:rsid w:val="39C944DB"/>
    <w:rsid w:val="39C96289"/>
    <w:rsid w:val="39CC3033"/>
    <w:rsid w:val="39CE1115"/>
    <w:rsid w:val="39FA4695"/>
    <w:rsid w:val="39FF1CAB"/>
    <w:rsid w:val="3A00614F"/>
    <w:rsid w:val="3A020880"/>
    <w:rsid w:val="3A18053F"/>
    <w:rsid w:val="3A361B71"/>
    <w:rsid w:val="3A4D6EBA"/>
    <w:rsid w:val="3A5E4C24"/>
    <w:rsid w:val="3A661D2A"/>
    <w:rsid w:val="3A6F6E31"/>
    <w:rsid w:val="3A72247D"/>
    <w:rsid w:val="3A7E52C6"/>
    <w:rsid w:val="3A8723CC"/>
    <w:rsid w:val="3A887B03"/>
    <w:rsid w:val="3A8C2EB9"/>
    <w:rsid w:val="3AAD729F"/>
    <w:rsid w:val="3AB54DA3"/>
    <w:rsid w:val="3ADB611B"/>
    <w:rsid w:val="3AE315CD"/>
    <w:rsid w:val="3AE656FD"/>
    <w:rsid w:val="3B0532F1"/>
    <w:rsid w:val="3B0A4DAB"/>
    <w:rsid w:val="3B2216F2"/>
    <w:rsid w:val="3B2458B0"/>
    <w:rsid w:val="3B2E6F98"/>
    <w:rsid w:val="3B3346AA"/>
    <w:rsid w:val="3B351E28"/>
    <w:rsid w:val="3B697D24"/>
    <w:rsid w:val="3BBF5B96"/>
    <w:rsid w:val="3BC11D04"/>
    <w:rsid w:val="3BD656B9"/>
    <w:rsid w:val="3BE519B4"/>
    <w:rsid w:val="3BE70C49"/>
    <w:rsid w:val="3BF05F44"/>
    <w:rsid w:val="3C0E61D6"/>
    <w:rsid w:val="3C3F2833"/>
    <w:rsid w:val="3C7050E2"/>
    <w:rsid w:val="3CD72A6B"/>
    <w:rsid w:val="3CF0295C"/>
    <w:rsid w:val="3D163594"/>
    <w:rsid w:val="3D17730C"/>
    <w:rsid w:val="3D204F2B"/>
    <w:rsid w:val="3D29776B"/>
    <w:rsid w:val="3D2A703F"/>
    <w:rsid w:val="3D32482E"/>
    <w:rsid w:val="3D3D3216"/>
    <w:rsid w:val="3D4E0F7F"/>
    <w:rsid w:val="3D581DFE"/>
    <w:rsid w:val="3D6267D9"/>
    <w:rsid w:val="3D6A38DF"/>
    <w:rsid w:val="3DB57251"/>
    <w:rsid w:val="3DB86D41"/>
    <w:rsid w:val="3DBA4867"/>
    <w:rsid w:val="3DBB413B"/>
    <w:rsid w:val="3DC95DE0"/>
    <w:rsid w:val="3DE12C05"/>
    <w:rsid w:val="3DE92F1E"/>
    <w:rsid w:val="3DF21B38"/>
    <w:rsid w:val="3DFF671E"/>
    <w:rsid w:val="3E17702D"/>
    <w:rsid w:val="3E1A3557"/>
    <w:rsid w:val="3E360BF9"/>
    <w:rsid w:val="3E4F46AE"/>
    <w:rsid w:val="3E760D57"/>
    <w:rsid w:val="3E9230EE"/>
    <w:rsid w:val="3EA572C5"/>
    <w:rsid w:val="3F035D9A"/>
    <w:rsid w:val="3F1151BB"/>
    <w:rsid w:val="3F2D72BA"/>
    <w:rsid w:val="3F3D6B1F"/>
    <w:rsid w:val="3F491F68"/>
    <w:rsid w:val="3F536D21"/>
    <w:rsid w:val="3F76656C"/>
    <w:rsid w:val="3F880418"/>
    <w:rsid w:val="3F9520B5"/>
    <w:rsid w:val="3F9D7F9C"/>
    <w:rsid w:val="3FA0183A"/>
    <w:rsid w:val="3FA96941"/>
    <w:rsid w:val="3FB7255B"/>
    <w:rsid w:val="3FC45529"/>
    <w:rsid w:val="3FCF2120"/>
    <w:rsid w:val="3FE536F1"/>
    <w:rsid w:val="400718BA"/>
    <w:rsid w:val="401C5365"/>
    <w:rsid w:val="40271F5C"/>
    <w:rsid w:val="40295CD4"/>
    <w:rsid w:val="402D5DC0"/>
    <w:rsid w:val="4033454D"/>
    <w:rsid w:val="403F2E01"/>
    <w:rsid w:val="40632F94"/>
    <w:rsid w:val="40953369"/>
    <w:rsid w:val="409E1AEE"/>
    <w:rsid w:val="40BF2194"/>
    <w:rsid w:val="40CC37CF"/>
    <w:rsid w:val="40EA0ABF"/>
    <w:rsid w:val="40EA0BB5"/>
    <w:rsid w:val="4105229D"/>
    <w:rsid w:val="41086370"/>
    <w:rsid w:val="4110365E"/>
    <w:rsid w:val="411B0AD9"/>
    <w:rsid w:val="41272213"/>
    <w:rsid w:val="41474664"/>
    <w:rsid w:val="415D7B9F"/>
    <w:rsid w:val="41742F7F"/>
    <w:rsid w:val="41D659E7"/>
    <w:rsid w:val="41E579D9"/>
    <w:rsid w:val="42042555"/>
    <w:rsid w:val="42054087"/>
    <w:rsid w:val="420543DE"/>
    <w:rsid w:val="42072045"/>
    <w:rsid w:val="421309EA"/>
    <w:rsid w:val="422B7AE1"/>
    <w:rsid w:val="424C018D"/>
    <w:rsid w:val="42B2779B"/>
    <w:rsid w:val="42D737C5"/>
    <w:rsid w:val="42DA32B5"/>
    <w:rsid w:val="42E14644"/>
    <w:rsid w:val="430A17B4"/>
    <w:rsid w:val="430D5439"/>
    <w:rsid w:val="432B2CDF"/>
    <w:rsid w:val="433504EC"/>
    <w:rsid w:val="4346094B"/>
    <w:rsid w:val="43575CAD"/>
    <w:rsid w:val="43610C51"/>
    <w:rsid w:val="436808C1"/>
    <w:rsid w:val="43747266"/>
    <w:rsid w:val="43866F99"/>
    <w:rsid w:val="43893B63"/>
    <w:rsid w:val="43921FC5"/>
    <w:rsid w:val="43A062AD"/>
    <w:rsid w:val="43A318F9"/>
    <w:rsid w:val="43AF029E"/>
    <w:rsid w:val="43B835F7"/>
    <w:rsid w:val="43BD6E5F"/>
    <w:rsid w:val="43CA50D8"/>
    <w:rsid w:val="43CC52F4"/>
    <w:rsid w:val="43D40C92"/>
    <w:rsid w:val="43DE3B85"/>
    <w:rsid w:val="43E77A38"/>
    <w:rsid w:val="43FD725B"/>
    <w:rsid w:val="44066B1E"/>
    <w:rsid w:val="440D650B"/>
    <w:rsid w:val="442764C7"/>
    <w:rsid w:val="44437501"/>
    <w:rsid w:val="44461C1B"/>
    <w:rsid w:val="44564BBE"/>
    <w:rsid w:val="445B0426"/>
    <w:rsid w:val="44623A35"/>
    <w:rsid w:val="449000D0"/>
    <w:rsid w:val="44A91191"/>
    <w:rsid w:val="45283316"/>
    <w:rsid w:val="4528655A"/>
    <w:rsid w:val="452B604A"/>
    <w:rsid w:val="4530540F"/>
    <w:rsid w:val="454F3AE7"/>
    <w:rsid w:val="45532502"/>
    <w:rsid w:val="45576E3F"/>
    <w:rsid w:val="455E3D2A"/>
    <w:rsid w:val="45603F46"/>
    <w:rsid w:val="4571562C"/>
    <w:rsid w:val="45763769"/>
    <w:rsid w:val="45921465"/>
    <w:rsid w:val="459C6AFE"/>
    <w:rsid w:val="45CD4679"/>
    <w:rsid w:val="45CF2E79"/>
    <w:rsid w:val="45D67359"/>
    <w:rsid w:val="45DC6186"/>
    <w:rsid w:val="45F26AAE"/>
    <w:rsid w:val="45F60406"/>
    <w:rsid w:val="4617355E"/>
    <w:rsid w:val="46560EA5"/>
    <w:rsid w:val="466C691A"/>
    <w:rsid w:val="466C6B3F"/>
    <w:rsid w:val="467B3D94"/>
    <w:rsid w:val="46B34549"/>
    <w:rsid w:val="46BF6A4A"/>
    <w:rsid w:val="46D71FE6"/>
    <w:rsid w:val="46F2539B"/>
    <w:rsid w:val="47482EE3"/>
    <w:rsid w:val="4773693A"/>
    <w:rsid w:val="47835CCA"/>
    <w:rsid w:val="47B16CDB"/>
    <w:rsid w:val="47B40579"/>
    <w:rsid w:val="47B97FF9"/>
    <w:rsid w:val="47D97FDF"/>
    <w:rsid w:val="47DA1545"/>
    <w:rsid w:val="47DC4CA1"/>
    <w:rsid w:val="47EB386F"/>
    <w:rsid w:val="47F44E19"/>
    <w:rsid w:val="4820176A"/>
    <w:rsid w:val="482202D7"/>
    <w:rsid w:val="4823125B"/>
    <w:rsid w:val="48403BBB"/>
    <w:rsid w:val="48847F4B"/>
    <w:rsid w:val="488A510E"/>
    <w:rsid w:val="48A47D51"/>
    <w:rsid w:val="48AE6D76"/>
    <w:rsid w:val="48ED5C35"/>
    <w:rsid w:val="48EE7ABB"/>
    <w:rsid w:val="48F36E7F"/>
    <w:rsid w:val="48FA020D"/>
    <w:rsid w:val="490C58FB"/>
    <w:rsid w:val="49107A31"/>
    <w:rsid w:val="49294ADE"/>
    <w:rsid w:val="49392E7D"/>
    <w:rsid w:val="495D254A"/>
    <w:rsid w:val="4968786D"/>
    <w:rsid w:val="49715BC5"/>
    <w:rsid w:val="49804BB7"/>
    <w:rsid w:val="498B70B7"/>
    <w:rsid w:val="498E0956"/>
    <w:rsid w:val="499522CC"/>
    <w:rsid w:val="49995E63"/>
    <w:rsid w:val="49A563CB"/>
    <w:rsid w:val="49B91E77"/>
    <w:rsid w:val="49C5081B"/>
    <w:rsid w:val="49CC7DFC"/>
    <w:rsid w:val="49E8450A"/>
    <w:rsid w:val="49F64E79"/>
    <w:rsid w:val="4A0F5F3A"/>
    <w:rsid w:val="4A1433DA"/>
    <w:rsid w:val="4A203CA4"/>
    <w:rsid w:val="4A45370A"/>
    <w:rsid w:val="4A4A2ACF"/>
    <w:rsid w:val="4A6F2535"/>
    <w:rsid w:val="4A954692"/>
    <w:rsid w:val="4A9F72BE"/>
    <w:rsid w:val="4AA2290B"/>
    <w:rsid w:val="4AA5064D"/>
    <w:rsid w:val="4AC705C3"/>
    <w:rsid w:val="4AD131F0"/>
    <w:rsid w:val="4AD66A58"/>
    <w:rsid w:val="4AF52ED4"/>
    <w:rsid w:val="4B1411AE"/>
    <w:rsid w:val="4B315A3D"/>
    <w:rsid w:val="4B3A1389"/>
    <w:rsid w:val="4B3F63AB"/>
    <w:rsid w:val="4B4340EE"/>
    <w:rsid w:val="4B526D79"/>
    <w:rsid w:val="4B55195F"/>
    <w:rsid w:val="4B871B00"/>
    <w:rsid w:val="4BA206E8"/>
    <w:rsid w:val="4BB24DCF"/>
    <w:rsid w:val="4BC30D8B"/>
    <w:rsid w:val="4BC66ACD"/>
    <w:rsid w:val="4BCD7E5B"/>
    <w:rsid w:val="4BD016F9"/>
    <w:rsid w:val="4BD905AE"/>
    <w:rsid w:val="4BDF36EB"/>
    <w:rsid w:val="4BE62CCB"/>
    <w:rsid w:val="4C052C36"/>
    <w:rsid w:val="4C3161CC"/>
    <w:rsid w:val="4C523EBC"/>
    <w:rsid w:val="4C806C7C"/>
    <w:rsid w:val="4CA7245A"/>
    <w:rsid w:val="4CB9218D"/>
    <w:rsid w:val="4CD174D7"/>
    <w:rsid w:val="4CE511D4"/>
    <w:rsid w:val="4CE5247E"/>
    <w:rsid w:val="4CEE1E37"/>
    <w:rsid w:val="4CFE5DF2"/>
    <w:rsid w:val="4D043409"/>
    <w:rsid w:val="4D0E072B"/>
    <w:rsid w:val="4D123D77"/>
    <w:rsid w:val="4D1B69A4"/>
    <w:rsid w:val="4D3239D4"/>
    <w:rsid w:val="4D330192"/>
    <w:rsid w:val="4D4203D5"/>
    <w:rsid w:val="4D4654B8"/>
    <w:rsid w:val="4D471547"/>
    <w:rsid w:val="4D583754"/>
    <w:rsid w:val="4D677E3B"/>
    <w:rsid w:val="4D810EFD"/>
    <w:rsid w:val="4D92310A"/>
    <w:rsid w:val="4DAE3242"/>
    <w:rsid w:val="4DBF1A26"/>
    <w:rsid w:val="4DC25072"/>
    <w:rsid w:val="4DEA1C1D"/>
    <w:rsid w:val="4DF669E6"/>
    <w:rsid w:val="4E317FF7"/>
    <w:rsid w:val="4E402B66"/>
    <w:rsid w:val="4E55757B"/>
    <w:rsid w:val="4E5B34FC"/>
    <w:rsid w:val="4E7520E4"/>
    <w:rsid w:val="4E9B7D9D"/>
    <w:rsid w:val="4EB55ABE"/>
    <w:rsid w:val="4ED11A10"/>
    <w:rsid w:val="4EFA3B41"/>
    <w:rsid w:val="4F02606E"/>
    <w:rsid w:val="4F0A0A7E"/>
    <w:rsid w:val="4F0C2A48"/>
    <w:rsid w:val="4F0E2C85"/>
    <w:rsid w:val="4F103D94"/>
    <w:rsid w:val="4F267062"/>
    <w:rsid w:val="4F2F6737"/>
    <w:rsid w:val="4F302BDB"/>
    <w:rsid w:val="4F3376A8"/>
    <w:rsid w:val="4F3D5063"/>
    <w:rsid w:val="4F4026F2"/>
    <w:rsid w:val="4F731F21"/>
    <w:rsid w:val="4F90367A"/>
    <w:rsid w:val="4FA26F09"/>
    <w:rsid w:val="4FBA6948"/>
    <w:rsid w:val="4FE87012"/>
    <w:rsid w:val="4FEB08B0"/>
    <w:rsid w:val="4FF43C08"/>
    <w:rsid w:val="50074618"/>
    <w:rsid w:val="500876B4"/>
    <w:rsid w:val="50285660"/>
    <w:rsid w:val="502B6EFE"/>
    <w:rsid w:val="50377F99"/>
    <w:rsid w:val="50566671"/>
    <w:rsid w:val="50593A6B"/>
    <w:rsid w:val="5086682B"/>
    <w:rsid w:val="50964CC0"/>
    <w:rsid w:val="509C7DFC"/>
    <w:rsid w:val="50BC78F1"/>
    <w:rsid w:val="50F30247"/>
    <w:rsid w:val="511172D9"/>
    <w:rsid w:val="512A5408"/>
    <w:rsid w:val="512A7C48"/>
    <w:rsid w:val="51360251"/>
    <w:rsid w:val="51385D77"/>
    <w:rsid w:val="514A5AAA"/>
    <w:rsid w:val="51672BF3"/>
    <w:rsid w:val="5175220F"/>
    <w:rsid w:val="51962A9D"/>
    <w:rsid w:val="51A010D6"/>
    <w:rsid w:val="51A72C5B"/>
    <w:rsid w:val="51B11685"/>
    <w:rsid w:val="51E23F34"/>
    <w:rsid w:val="51EB103B"/>
    <w:rsid w:val="51FC4FF6"/>
    <w:rsid w:val="5201085F"/>
    <w:rsid w:val="52025275"/>
    <w:rsid w:val="521340EE"/>
    <w:rsid w:val="52240FED"/>
    <w:rsid w:val="524F15CA"/>
    <w:rsid w:val="527934C5"/>
    <w:rsid w:val="527F3531"/>
    <w:rsid w:val="52905D6C"/>
    <w:rsid w:val="52A82A88"/>
    <w:rsid w:val="52AD4542"/>
    <w:rsid w:val="52B94C95"/>
    <w:rsid w:val="52CB49C9"/>
    <w:rsid w:val="52CB6777"/>
    <w:rsid w:val="52EC6E19"/>
    <w:rsid w:val="52F03646"/>
    <w:rsid w:val="52FC2C8D"/>
    <w:rsid w:val="53511372"/>
    <w:rsid w:val="535C34CA"/>
    <w:rsid w:val="536444B8"/>
    <w:rsid w:val="536966BB"/>
    <w:rsid w:val="536A2433"/>
    <w:rsid w:val="53760DD8"/>
    <w:rsid w:val="538A73DF"/>
    <w:rsid w:val="538D3872"/>
    <w:rsid w:val="539B6326"/>
    <w:rsid w:val="53B37937"/>
    <w:rsid w:val="53C1052D"/>
    <w:rsid w:val="53D967E6"/>
    <w:rsid w:val="53DA4EC3"/>
    <w:rsid w:val="53E90DAD"/>
    <w:rsid w:val="53EA0E7E"/>
    <w:rsid w:val="540B51FB"/>
    <w:rsid w:val="54181E8F"/>
    <w:rsid w:val="542A77B8"/>
    <w:rsid w:val="543D5452"/>
    <w:rsid w:val="546450D5"/>
    <w:rsid w:val="548B2661"/>
    <w:rsid w:val="548F2152"/>
    <w:rsid w:val="549E4143"/>
    <w:rsid w:val="54C31DFB"/>
    <w:rsid w:val="54C87412"/>
    <w:rsid w:val="54EF499E"/>
    <w:rsid w:val="54F33592"/>
    <w:rsid w:val="55093012"/>
    <w:rsid w:val="552A00CC"/>
    <w:rsid w:val="55386FB1"/>
    <w:rsid w:val="55432F3C"/>
    <w:rsid w:val="55546EF7"/>
    <w:rsid w:val="555B0586"/>
    <w:rsid w:val="555C6BD0"/>
    <w:rsid w:val="55630EE8"/>
    <w:rsid w:val="558A46C7"/>
    <w:rsid w:val="559E76D2"/>
    <w:rsid w:val="55A81A65"/>
    <w:rsid w:val="55AC0AE1"/>
    <w:rsid w:val="55BF23EE"/>
    <w:rsid w:val="55CF409A"/>
    <w:rsid w:val="5621502B"/>
    <w:rsid w:val="562C1C22"/>
    <w:rsid w:val="5632548A"/>
    <w:rsid w:val="56365414"/>
    <w:rsid w:val="56680EAC"/>
    <w:rsid w:val="56703856"/>
    <w:rsid w:val="567315FF"/>
    <w:rsid w:val="56955A19"/>
    <w:rsid w:val="56A66920"/>
    <w:rsid w:val="56BF4844"/>
    <w:rsid w:val="56C500AD"/>
    <w:rsid w:val="56D976B4"/>
    <w:rsid w:val="56F00EA2"/>
    <w:rsid w:val="56F8250A"/>
    <w:rsid w:val="56FC15F5"/>
    <w:rsid w:val="56FD7CD0"/>
    <w:rsid w:val="57027519"/>
    <w:rsid w:val="57064A98"/>
    <w:rsid w:val="57266671"/>
    <w:rsid w:val="57323268"/>
    <w:rsid w:val="573963A5"/>
    <w:rsid w:val="574D0D59"/>
    <w:rsid w:val="57511940"/>
    <w:rsid w:val="5762118D"/>
    <w:rsid w:val="57743881"/>
    <w:rsid w:val="5789732C"/>
    <w:rsid w:val="57945CD1"/>
    <w:rsid w:val="57A8352A"/>
    <w:rsid w:val="57BF2D4E"/>
    <w:rsid w:val="57D96C56"/>
    <w:rsid w:val="57EE3633"/>
    <w:rsid w:val="57FA323B"/>
    <w:rsid w:val="57FF75EE"/>
    <w:rsid w:val="5842572D"/>
    <w:rsid w:val="586631C9"/>
    <w:rsid w:val="58711B6E"/>
    <w:rsid w:val="58783637"/>
    <w:rsid w:val="587C0C3F"/>
    <w:rsid w:val="588E4582"/>
    <w:rsid w:val="5898359F"/>
    <w:rsid w:val="589F0489"/>
    <w:rsid w:val="58A601B5"/>
    <w:rsid w:val="58F5454D"/>
    <w:rsid w:val="590B5737"/>
    <w:rsid w:val="591250FF"/>
    <w:rsid w:val="591A6D21"/>
    <w:rsid w:val="59253085"/>
    <w:rsid w:val="592B4413"/>
    <w:rsid w:val="59434531"/>
    <w:rsid w:val="594554D5"/>
    <w:rsid w:val="59505C28"/>
    <w:rsid w:val="5958639F"/>
    <w:rsid w:val="595B0854"/>
    <w:rsid w:val="596C0CB3"/>
    <w:rsid w:val="598041CB"/>
    <w:rsid w:val="598D3023"/>
    <w:rsid w:val="599A79A6"/>
    <w:rsid w:val="59A10231"/>
    <w:rsid w:val="59AC24F7"/>
    <w:rsid w:val="59AD4E28"/>
    <w:rsid w:val="59C669A8"/>
    <w:rsid w:val="59DA7910"/>
    <w:rsid w:val="59EC38E1"/>
    <w:rsid w:val="59EF219F"/>
    <w:rsid w:val="5A0A227A"/>
    <w:rsid w:val="5A2E41BB"/>
    <w:rsid w:val="5A597744"/>
    <w:rsid w:val="5A5C0D28"/>
    <w:rsid w:val="5A693A4F"/>
    <w:rsid w:val="5A736BAA"/>
    <w:rsid w:val="5AB3021C"/>
    <w:rsid w:val="5AF32D0E"/>
    <w:rsid w:val="5B0B5C18"/>
    <w:rsid w:val="5B184523"/>
    <w:rsid w:val="5B1F49A4"/>
    <w:rsid w:val="5B370E4D"/>
    <w:rsid w:val="5B445318"/>
    <w:rsid w:val="5B477393"/>
    <w:rsid w:val="5B5437AD"/>
    <w:rsid w:val="5B63298B"/>
    <w:rsid w:val="5B85605C"/>
    <w:rsid w:val="5B977B3E"/>
    <w:rsid w:val="5B9C6F02"/>
    <w:rsid w:val="5BA31F6D"/>
    <w:rsid w:val="5BD13050"/>
    <w:rsid w:val="5BD26DC8"/>
    <w:rsid w:val="5BD655A2"/>
    <w:rsid w:val="5BDB5C7C"/>
    <w:rsid w:val="5BE07737"/>
    <w:rsid w:val="5C2A0E90"/>
    <w:rsid w:val="5C2B7692"/>
    <w:rsid w:val="5C390BF5"/>
    <w:rsid w:val="5C3929A3"/>
    <w:rsid w:val="5C401F83"/>
    <w:rsid w:val="5C40476C"/>
    <w:rsid w:val="5C425CFC"/>
    <w:rsid w:val="5C4952DC"/>
    <w:rsid w:val="5C5123E2"/>
    <w:rsid w:val="5C735EB5"/>
    <w:rsid w:val="5CAE5E6B"/>
    <w:rsid w:val="5CBD5382"/>
    <w:rsid w:val="5CD01FBE"/>
    <w:rsid w:val="5CD1707F"/>
    <w:rsid w:val="5CEB0141"/>
    <w:rsid w:val="5CED3EB9"/>
    <w:rsid w:val="5CED6664"/>
    <w:rsid w:val="5D0E3E30"/>
    <w:rsid w:val="5D221689"/>
    <w:rsid w:val="5D3560D4"/>
    <w:rsid w:val="5D6A375C"/>
    <w:rsid w:val="5D8202BE"/>
    <w:rsid w:val="5D891708"/>
    <w:rsid w:val="5DB22A0D"/>
    <w:rsid w:val="5DD07337"/>
    <w:rsid w:val="5DD56FF0"/>
    <w:rsid w:val="5DD92690"/>
    <w:rsid w:val="5DDD17E1"/>
    <w:rsid w:val="5DE3706A"/>
    <w:rsid w:val="5DF11787"/>
    <w:rsid w:val="5DF9063C"/>
    <w:rsid w:val="5DFC726C"/>
    <w:rsid w:val="5E1D5B3E"/>
    <w:rsid w:val="5E225DE5"/>
    <w:rsid w:val="5E2A6A47"/>
    <w:rsid w:val="5E652ADE"/>
    <w:rsid w:val="5E710FBC"/>
    <w:rsid w:val="5E7F176F"/>
    <w:rsid w:val="5E8545C5"/>
    <w:rsid w:val="5E936558"/>
    <w:rsid w:val="5E9D7480"/>
    <w:rsid w:val="5EAE7678"/>
    <w:rsid w:val="5EC96260"/>
    <w:rsid w:val="5EDD1D0C"/>
    <w:rsid w:val="5EE217F9"/>
    <w:rsid w:val="5EE27322"/>
    <w:rsid w:val="5EE75B17"/>
    <w:rsid w:val="5EEF6B9A"/>
    <w:rsid w:val="5F27742B"/>
    <w:rsid w:val="5F28567D"/>
    <w:rsid w:val="5F4B3119"/>
    <w:rsid w:val="5F5415CE"/>
    <w:rsid w:val="5F585836"/>
    <w:rsid w:val="5F64545E"/>
    <w:rsid w:val="5F6E0BB6"/>
    <w:rsid w:val="5F797C86"/>
    <w:rsid w:val="5F993D1B"/>
    <w:rsid w:val="5F9D0CBA"/>
    <w:rsid w:val="5FCF78A6"/>
    <w:rsid w:val="5FD27AAD"/>
    <w:rsid w:val="5FD41360"/>
    <w:rsid w:val="5FD72BFF"/>
    <w:rsid w:val="5FEB66AA"/>
    <w:rsid w:val="5FED41D0"/>
    <w:rsid w:val="60036C0D"/>
    <w:rsid w:val="602A2D2E"/>
    <w:rsid w:val="60622ED8"/>
    <w:rsid w:val="60792793"/>
    <w:rsid w:val="60795A64"/>
    <w:rsid w:val="607A2F67"/>
    <w:rsid w:val="608C39E9"/>
    <w:rsid w:val="609D5BF6"/>
    <w:rsid w:val="60A01243"/>
    <w:rsid w:val="60AE6449"/>
    <w:rsid w:val="60CF1B28"/>
    <w:rsid w:val="60D1360B"/>
    <w:rsid w:val="60D4713E"/>
    <w:rsid w:val="60DA29A7"/>
    <w:rsid w:val="60DC0870"/>
    <w:rsid w:val="60E86BFD"/>
    <w:rsid w:val="60EA20B9"/>
    <w:rsid w:val="610923E5"/>
    <w:rsid w:val="61161505"/>
    <w:rsid w:val="611D0E9C"/>
    <w:rsid w:val="612F7FCE"/>
    <w:rsid w:val="613D4CE3"/>
    <w:rsid w:val="61453B98"/>
    <w:rsid w:val="61734BA9"/>
    <w:rsid w:val="618034E5"/>
    <w:rsid w:val="61826B9A"/>
    <w:rsid w:val="618F19E3"/>
    <w:rsid w:val="619568CD"/>
    <w:rsid w:val="61AD66ED"/>
    <w:rsid w:val="61B050E7"/>
    <w:rsid w:val="61B551C2"/>
    <w:rsid w:val="61BE4076"/>
    <w:rsid w:val="61C80A51"/>
    <w:rsid w:val="61D70C94"/>
    <w:rsid w:val="61E360BE"/>
    <w:rsid w:val="61FB0E26"/>
    <w:rsid w:val="62055A75"/>
    <w:rsid w:val="62065A1D"/>
    <w:rsid w:val="621912AD"/>
    <w:rsid w:val="621F43E9"/>
    <w:rsid w:val="622F1669"/>
    <w:rsid w:val="623460E6"/>
    <w:rsid w:val="624D53FA"/>
    <w:rsid w:val="62562501"/>
    <w:rsid w:val="625B7B17"/>
    <w:rsid w:val="625D388F"/>
    <w:rsid w:val="62650996"/>
    <w:rsid w:val="62683FE2"/>
    <w:rsid w:val="626B793D"/>
    <w:rsid w:val="62764FAB"/>
    <w:rsid w:val="627666FF"/>
    <w:rsid w:val="629B008E"/>
    <w:rsid w:val="629C3C79"/>
    <w:rsid w:val="629D0130"/>
    <w:rsid w:val="62AD11D0"/>
    <w:rsid w:val="62B22401"/>
    <w:rsid w:val="62E80C7F"/>
    <w:rsid w:val="62FA736F"/>
    <w:rsid w:val="63003949"/>
    <w:rsid w:val="63027F93"/>
    <w:rsid w:val="631A1780"/>
    <w:rsid w:val="631A7E30"/>
    <w:rsid w:val="632443AD"/>
    <w:rsid w:val="63350160"/>
    <w:rsid w:val="633B39FC"/>
    <w:rsid w:val="63506F50"/>
    <w:rsid w:val="63575791"/>
    <w:rsid w:val="63696264"/>
    <w:rsid w:val="63750C42"/>
    <w:rsid w:val="63960D2D"/>
    <w:rsid w:val="63A70B3A"/>
    <w:rsid w:val="63B17E96"/>
    <w:rsid w:val="63C416EC"/>
    <w:rsid w:val="63C74D38"/>
    <w:rsid w:val="63E0176B"/>
    <w:rsid w:val="63E453A9"/>
    <w:rsid w:val="63F7386F"/>
    <w:rsid w:val="64033FC2"/>
    <w:rsid w:val="640922D0"/>
    <w:rsid w:val="641A2EBD"/>
    <w:rsid w:val="641C6E32"/>
    <w:rsid w:val="64295840"/>
    <w:rsid w:val="64395E7C"/>
    <w:rsid w:val="643C74D4"/>
    <w:rsid w:val="64412DBA"/>
    <w:rsid w:val="64476F4B"/>
    <w:rsid w:val="64540CC2"/>
    <w:rsid w:val="64616F3B"/>
    <w:rsid w:val="6477675E"/>
    <w:rsid w:val="64852C29"/>
    <w:rsid w:val="64992B79"/>
    <w:rsid w:val="64CE4D88"/>
    <w:rsid w:val="64DE058B"/>
    <w:rsid w:val="64E02CF2"/>
    <w:rsid w:val="64EC2CA8"/>
    <w:rsid w:val="64FF2A33"/>
    <w:rsid w:val="65077AE2"/>
    <w:rsid w:val="652A028A"/>
    <w:rsid w:val="6535464F"/>
    <w:rsid w:val="653F6B42"/>
    <w:rsid w:val="65407C11"/>
    <w:rsid w:val="65495368"/>
    <w:rsid w:val="655B3896"/>
    <w:rsid w:val="655E3A77"/>
    <w:rsid w:val="657809E0"/>
    <w:rsid w:val="658B24C1"/>
    <w:rsid w:val="658B4268"/>
    <w:rsid w:val="658C7000"/>
    <w:rsid w:val="65AC068A"/>
    <w:rsid w:val="65E816C2"/>
    <w:rsid w:val="65E9543A"/>
    <w:rsid w:val="66012783"/>
    <w:rsid w:val="66094DB9"/>
    <w:rsid w:val="661078D0"/>
    <w:rsid w:val="66171FA7"/>
    <w:rsid w:val="661C136B"/>
    <w:rsid w:val="661E3757"/>
    <w:rsid w:val="664D59C9"/>
    <w:rsid w:val="665C474C"/>
    <w:rsid w:val="665F17E4"/>
    <w:rsid w:val="666176C6"/>
    <w:rsid w:val="666D606B"/>
    <w:rsid w:val="66723681"/>
    <w:rsid w:val="66907D40"/>
    <w:rsid w:val="66BE125A"/>
    <w:rsid w:val="66E7147B"/>
    <w:rsid w:val="66EA76BB"/>
    <w:rsid w:val="66F402EA"/>
    <w:rsid w:val="66F9345B"/>
    <w:rsid w:val="67036A86"/>
    <w:rsid w:val="670C7632"/>
    <w:rsid w:val="671B5AC7"/>
    <w:rsid w:val="671F6C47"/>
    <w:rsid w:val="67283D40"/>
    <w:rsid w:val="672A5D0A"/>
    <w:rsid w:val="672A7AB8"/>
    <w:rsid w:val="67423054"/>
    <w:rsid w:val="67656D42"/>
    <w:rsid w:val="67717495"/>
    <w:rsid w:val="677F7E04"/>
    <w:rsid w:val="6780592A"/>
    <w:rsid w:val="67B0620F"/>
    <w:rsid w:val="67BA708E"/>
    <w:rsid w:val="67C07E4A"/>
    <w:rsid w:val="67DA7730"/>
    <w:rsid w:val="67FB2A48"/>
    <w:rsid w:val="67FC76A6"/>
    <w:rsid w:val="67FD2B83"/>
    <w:rsid w:val="67FF2F55"/>
    <w:rsid w:val="68057723"/>
    <w:rsid w:val="680D18B3"/>
    <w:rsid w:val="681F5143"/>
    <w:rsid w:val="68203D1B"/>
    <w:rsid w:val="68472B6D"/>
    <w:rsid w:val="685272C6"/>
    <w:rsid w:val="68531CDD"/>
    <w:rsid w:val="68680898"/>
    <w:rsid w:val="68945B31"/>
    <w:rsid w:val="68A67612"/>
    <w:rsid w:val="68CD1043"/>
    <w:rsid w:val="68E1064A"/>
    <w:rsid w:val="68E37F9C"/>
    <w:rsid w:val="68E51EE8"/>
    <w:rsid w:val="68FA40F3"/>
    <w:rsid w:val="68FE11FC"/>
    <w:rsid w:val="690031C6"/>
    <w:rsid w:val="69042303"/>
    <w:rsid w:val="690C3919"/>
    <w:rsid w:val="69201173"/>
    <w:rsid w:val="69272501"/>
    <w:rsid w:val="69322309"/>
    <w:rsid w:val="694035C3"/>
    <w:rsid w:val="694626F8"/>
    <w:rsid w:val="69594031"/>
    <w:rsid w:val="69696D75"/>
    <w:rsid w:val="698431D7"/>
    <w:rsid w:val="698A2A90"/>
    <w:rsid w:val="699A71FC"/>
    <w:rsid w:val="69A8763A"/>
    <w:rsid w:val="69B67D29"/>
    <w:rsid w:val="69C20DE4"/>
    <w:rsid w:val="69C50ADB"/>
    <w:rsid w:val="69C74CBB"/>
    <w:rsid w:val="6A0C210D"/>
    <w:rsid w:val="6A0D7DED"/>
    <w:rsid w:val="6A1D56B2"/>
    <w:rsid w:val="6A211646"/>
    <w:rsid w:val="6A2151A2"/>
    <w:rsid w:val="6A462E5B"/>
    <w:rsid w:val="6A7019A4"/>
    <w:rsid w:val="6A786D8C"/>
    <w:rsid w:val="6A8B4D12"/>
    <w:rsid w:val="6A972E4E"/>
    <w:rsid w:val="6ACD70D8"/>
    <w:rsid w:val="6AD119EC"/>
    <w:rsid w:val="6AD9782B"/>
    <w:rsid w:val="6AE508C6"/>
    <w:rsid w:val="6B1940CB"/>
    <w:rsid w:val="6B361121"/>
    <w:rsid w:val="6B421874"/>
    <w:rsid w:val="6B604762"/>
    <w:rsid w:val="6B6A6C83"/>
    <w:rsid w:val="6B944D8F"/>
    <w:rsid w:val="6BB72D7E"/>
    <w:rsid w:val="6BBD539F"/>
    <w:rsid w:val="6BC9782A"/>
    <w:rsid w:val="6BCE220C"/>
    <w:rsid w:val="6BCF6E80"/>
    <w:rsid w:val="6BD12BF8"/>
    <w:rsid w:val="6BE24E05"/>
    <w:rsid w:val="6BE75F78"/>
    <w:rsid w:val="6BEC358E"/>
    <w:rsid w:val="6BF608B1"/>
    <w:rsid w:val="6C2B67AC"/>
    <w:rsid w:val="6C514054"/>
    <w:rsid w:val="6C5D26DE"/>
    <w:rsid w:val="6C5F0204"/>
    <w:rsid w:val="6C702411"/>
    <w:rsid w:val="6C755C79"/>
    <w:rsid w:val="6C770BB5"/>
    <w:rsid w:val="6C845EBC"/>
    <w:rsid w:val="6C86741D"/>
    <w:rsid w:val="6C8E6D3B"/>
    <w:rsid w:val="6C9A748E"/>
    <w:rsid w:val="6C9E6F7E"/>
    <w:rsid w:val="6CA83959"/>
    <w:rsid w:val="6CB70040"/>
    <w:rsid w:val="6CB93DB8"/>
    <w:rsid w:val="6CCB3AEB"/>
    <w:rsid w:val="6CD96208"/>
    <w:rsid w:val="6CFA4F3B"/>
    <w:rsid w:val="6CFD2D81"/>
    <w:rsid w:val="6D125276"/>
    <w:rsid w:val="6D192AA9"/>
    <w:rsid w:val="6D1D3BF9"/>
    <w:rsid w:val="6D1F744D"/>
    <w:rsid w:val="6D203E37"/>
    <w:rsid w:val="6D25444C"/>
    <w:rsid w:val="6D352F7B"/>
    <w:rsid w:val="6D437B25"/>
    <w:rsid w:val="6D5B09CB"/>
    <w:rsid w:val="6D6D6950"/>
    <w:rsid w:val="6D77157D"/>
    <w:rsid w:val="6D9D14A4"/>
    <w:rsid w:val="6DAD4F9F"/>
    <w:rsid w:val="6DB63E53"/>
    <w:rsid w:val="6DCA5B51"/>
    <w:rsid w:val="6DD15131"/>
    <w:rsid w:val="6DE54739"/>
    <w:rsid w:val="6E027099"/>
    <w:rsid w:val="6E196913"/>
    <w:rsid w:val="6E2C680B"/>
    <w:rsid w:val="6E3A2CD6"/>
    <w:rsid w:val="6E3B07FD"/>
    <w:rsid w:val="6E6E0BD2"/>
    <w:rsid w:val="6E6E3BE9"/>
    <w:rsid w:val="6E76733B"/>
    <w:rsid w:val="6E8612AA"/>
    <w:rsid w:val="6E9248C1"/>
    <w:rsid w:val="6EA91C0A"/>
    <w:rsid w:val="6EAD16FA"/>
    <w:rsid w:val="6EB365E5"/>
    <w:rsid w:val="6ED0368D"/>
    <w:rsid w:val="6ED50F94"/>
    <w:rsid w:val="6EE92007"/>
    <w:rsid w:val="6EEA392C"/>
    <w:rsid w:val="6EF747E7"/>
    <w:rsid w:val="6EFA7E44"/>
    <w:rsid w:val="6F516BAB"/>
    <w:rsid w:val="6F631DB9"/>
    <w:rsid w:val="6F796C19"/>
    <w:rsid w:val="6F9603E0"/>
    <w:rsid w:val="6F96218E"/>
    <w:rsid w:val="6FB26695"/>
    <w:rsid w:val="6FC211D5"/>
    <w:rsid w:val="6FF77C41"/>
    <w:rsid w:val="70096E04"/>
    <w:rsid w:val="70313A42"/>
    <w:rsid w:val="7049481C"/>
    <w:rsid w:val="705B5186"/>
    <w:rsid w:val="707F0E75"/>
    <w:rsid w:val="70860455"/>
    <w:rsid w:val="70B2124A"/>
    <w:rsid w:val="70B54896"/>
    <w:rsid w:val="70C26FB3"/>
    <w:rsid w:val="70C41323"/>
    <w:rsid w:val="70D7582F"/>
    <w:rsid w:val="70DE5BAC"/>
    <w:rsid w:val="70E06818"/>
    <w:rsid w:val="70EE1B56"/>
    <w:rsid w:val="70EE7FD0"/>
    <w:rsid w:val="70F51CC1"/>
    <w:rsid w:val="70F60C6B"/>
    <w:rsid w:val="711772FF"/>
    <w:rsid w:val="712424A9"/>
    <w:rsid w:val="71520337"/>
    <w:rsid w:val="71777D9E"/>
    <w:rsid w:val="71816E6E"/>
    <w:rsid w:val="718D75C1"/>
    <w:rsid w:val="71A30B93"/>
    <w:rsid w:val="71AC3EEB"/>
    <w:rsid w:val="71BC1C54"/>
    <w:rsid w:val="71EA5041"/>
    <w:rsid w:val="71FB277D"/>
    <w:rsid w:val="72023B0B"/>
    <w:rsid w:val="720750AB"/>
    <w:rsid w:val="72135D18"/>
    <w:rsid w:val="7213773D"/>
    <w:rsid w:val="721970A7"/>
    <w:rsid w:val="721B4B69"/>
    <w:rsid w:val="722523DA"/>
    <w:rsid w:val="7238752D"/>
    <w:rsid w:val="724834E8"/>
    <w:rsid w:val="724A54B2"/>
    <w:rsid w:val="72651D1D"/>
    <w:rsid w:val="72824C4C"/>
    <w:rsid w:val="728F1117"/>
    <w:rsid w:val="729F57FE"/>
    <w:rsid w:val="72AC7F1B"/>
    <w:rsid w:val="72BB1F0C"/>
    <w:rsid w:val="72BC63B0"/>
    <w:rsid w:val="72CC4119"/>
    <w:rsid w:val="72D902DB"/>
    <w:rsid w:val="72D922D2"/>
    <w:rsid w:val="72EC0317"/>
    <w:rsid w:val="72F31818"/>
    <w:rsid w:val="72F40506"/>
    <w:rsid w:val="7329331A"/>
    <w:rsid w:val="73352A0F"/>
    <w:rsid w:val="73366491"/>
    <w:rsid w:val="733E7955"/>
    <w:rsid w:val="733F2341"/>
    <w:rsid w:val="7349576A"/>
    <w:rsid w:val="7363318F"/>
    <w:rsid w:val="73784B15"/>
    <w:rsid w:val="73A40BF2"/>
    <w:rsid w:val="73B9644B"/>
    <w:rsid w:val="73C13552"/>
    <w:rsid w:val="73D414D7"/>
    <w:rsid w:val="73E159A2"/>
    <w:rsid w:val="73E27753"/>
    <w:rsid w:val="73F27BAF"/>
    <w:rsid w:val="73FC458A"/>
    <w:rsid w:val="73FE47A6"/>
    <w:rsid w:val="740A5D4F"/>
    <w:rsid w:val="74681C20"/>
    <w:rsid w:val="74C4779E"/>
    <w:rsid w:val="74DB0643"/>
    <w:rsid w:val="74F3598D"/>
    <w:rsid w:val="74FF4400"/>
    <w:rsid w:val="75181898"/>
    <w:rsid w:val="752F4586"/>
    <w:rsid w:val="75377F70"/>
    <w:rsid w:val="753A35BC"/>
    <w:rsid w:val="755A1EB0"/>
    <w:rsid w:val="757C62BA"/>
    <w:rsid w:val="75966973"/>
    <w:rsid w:val="75993854"/>
    <w:rsid w:val="75C567D4"/>
    <w:rsid w:val="75CF63FA"/>
    <w:rsid w:val="75D32B1E"/>
    <w:rsid w:val="76005B8B"/>
    <w:rsid w:val="76063720"/>
    <w:rsid w:val="760944E2"/>
    <w:rsid w:val="760F2C9B"/>
    <w:rsid w:val="76116A13"/>
    <w:rsid w:val="761958C7"/>
    <w:rsid w:val="7630676D"/>
    <w:rsid w:val="76370B8C"/>
    <w:rsid w:val="76377AFB"/>
    <w:rsid w:val="763C02F5"/>
    <w:rsid w:val="764D731F"/>
    <w:rsid w:val="76534121"/>
    <w:rsid w:val="765468FF"/>
    <w:rsid w:val="76676633"/>
    <w:rsid w:val="766B147C"/>
    <w:rsid w:val="76827673"/>
    <w:rsid w:val="768B3538"/>
    <w:rsid w:val="768C6099"/>
    <w:rsid w:val="76A41635"/>
    <w:rsid w:val="76B15B00"/>
    <w:rsid w:val="76B33626"/>
    <w:rsid w:val="76B55D08"/>
    <w:rsid w:val="76B61368"/>
    <w:rsid w:val="76D23B71"/>
    <w:rsid w:val="76D77B5B"/>
    <w:rsid w:val="76DA4F81"/>
    <w:rsid w:val="76E80E22"/>
    <w:rsid w:val="770025E3"/>
    <w:rsid w:val="770754B2"/>
    <w:rsid w:val="77135F98"/>
    <w:rsid w:val="771C566F"/>
    <w:rsid w:val="77291B3A"/>
    <w:rsid w:val="772E30C3"/>
    <w:rsid w:val="774D3A7A"/>
    <w:rsid w:val="77765AAD"/>
    <w:rsid w:val="77D45F4A"/>
    <w:rsid w:val="77D61F04"/>
    <w:rsid w:val="78232A2D"/>
    <w:rsid w:val="78396B34"/>
    <w:rsid w:val="783B7D77"/>
    <w:rsid w:val="78482494"/>
    <w:rsid w:val="784A7FBA"/>
    <w:rsid w:val="787119EB"/>
    <w:rsid w:val="78762B5D"/>
    <w:rsid w:val="789353C9"/>
    <w:rsid w:val="789E20B4"/>
    <w:rsid w:val="78B611AB"/>
    <w:rsid w:val="78BD078C"/>
    <w:rsid w:val="78BE62B2"/>
    <w:rsid w:val="78D04EAD"/>
    <w:rsid w:val="78DA5F74"/>
    <w:rsid w:val="78E977D3"/>
    <w:rsid w:val="79002D6F"/>
    <w:rsid w:val="79050385"/>
    <w:rsid w:val="790D3456"/>
    <w:rsid w:val="79164340"/>
    <w:rsid w:val="791A7F61"/>
    <w:rsid w:val="792E3438"/>
    <w:rsid w:val="792E51E6"/>
    <w:rsid w:val="792F71B0"/>
    <w:rsid w:val="794C38BE"/>
    <w:rsid w:val="7950639F"/>
    <w:rsid w:val="79762964"/>
    <w:rsid w:val="79A862DB"/>
    <w:rsid w:val="79B95342"/>
    <w:rsid w:val="79DD09BA"/>
    <w:rsid w:val="7A002417"/>
    <w:rsid w:val="7A114262"/>
    <w:rsid w:val="7A312B48"/>
    <w:rsid w:val="7A320D06"/>
    <w:rsid w:val="7A430B5F"/>
    <w:rsid w:val="7A5A025C"/>
    <w:rsid w:val="7A666C01"/>
    <w:rsid w:val="7A826F8A"/>
    <w:rsid w:val="7A9D480F"/>
    <w:rsid w:val="7AAF042F"/>
    <w:rsid w:val="7AAF29A1"/>
    <w:rsid w:val="7AF366E7"/>
    <w:rsid w:val="7B034450"/>
    <w:rsid w:val="7B1228E5"/>
    <w:rsid w:val="7B171D01"/>
    <w:rsid w:val="7B2E5971"/>
    <w:rsid w:val="7B31720F"/>
    <w:rsid w:val="7B42141C"/>
    <w:rsid w:val="7B580C40"/>
    <w:rsid w:val="7B5D2507"/>
    <w:rsid w:val="7B71246B"/>
    <w:rsid w:val="7B783090"/>
    <w:rsid w:val="7B8E01BE"/>
    <w:rsid w:val="7B9A6617"/>
    <w:rsid w:val="7B9B3F93"/>
    <w:rsid w:val="7BA048B9"/>
    <w:rsid w:val="7BB3231A"/>
    <w:rsid w:val="7BBF6E5D"/>
    <w:rsid w:val="7BCB31C0"/>
    <w:rsid w:val="7BD8636F"/>
    <w:rsid w:val="7BE54825"/>
    <w:rsid w:val="7C232FFC"/>
    <w:rsid w:val="7C286864"/>
    <w:rsid w:val="7C3639F5"/>
    <w:rsid w:val="7C606D6D"/>
    <w:rsid w:val="7C693ED0"/>
    <w:rsid w:val="7C6D3A08"/>
    <w:rsid w:val="7C727ADF"/>
    <w:rsid w:val="7C8D1DBB"/>
    <w:rsid w:val="7C961A20"/>
    <w:rsid w:val="7CAF2AE1"/>
    <w:rsid w:val="7CB400F8"/>
    <w:rsid w:val="7CB81B01"/>
    <w:rsid w:val="7CC145C3"/>
    <w:rsid w:val="7CD42548"/>
    <w:rsid w:val="7D0F68B1"/>
    <w:rsid w:val="7D1172F8"/>
    <w:rsid w:val="7D146DE8"/>
    <w:rsid w:val="7D2F3C22"/>
    <w:rsid w:val="7D3E3F8C"/>
    <w:rsid w:val="7D3E79C1"/>
    <w:rsid w:val="7D406FB9"/>
    <w:rsid w:val="7D4A45B8"/>
    <w:rsid w:val="7D507DD4"/>
    <w:rsid w:val="7D894928"/>
    <w:rsid w:val="7DB91369"/>
    <w:rsid w:val="7DC26844"/>
    <w:rsid w:val="7DC54BFB"/>
    <w:rsid w:val="7DCE3B5B"/>
    <w:rsid w:val="7DD6409E"/>
    <w:rsid w:val="7DDE1223"/>
    <w:rsid w:val="7DFA7D8C"/>
    <w:rsid w:val="7E0429B9"/>
    <w:rsid w:val="7E165433"/>
    <w:rsid w:val="7E301A00"/>
    <w:rsid w:val="7E3037AE"/>
    <w:rsid w:val="7E6B47E6"/>
    <w:rsid w:val="7E991412"/>
    <w:rsid w:val="7EA06B86"/>
    <w:rsid w:val="7EBB39C0"/>
    <w:rsid w:val="7EEC0498"/>
    <w:rsid w:val="7EFB3DBC"/>
    <w:rsid w:val="7EFE38AC"/>
    <w:rsid w:val="7EFF6F9C"/>
    <w:rsid w:val="7F032C71"/>
    <w:rsid w:val="7F054C3B"/>
    <w:rsid w:val="7F0C5FC9"/>
    <w:rsid w:val="7F1B539F"/>
    <w:rsid w:val="7F240ECD"/>
    <w:rsid w:val="7F4A08A0"/>
    <w:rsid w:val="7F54171E"/>
    <w:rsid w:val="7F563747"/>
    <w:rsid w:val="7F840255"/>
    <w:rsid w:val="7F8C1A7C"/>
    <w:rsid w:val="7F945FBF"/>
    <w:rsid w:val="7FCE327F"/>
    <w:rsid w:val="7FE72592"/>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Times New Roman"/>
    </w:rPr>
  </w:style>
  <w:style w:type="paragraph" w:styleId="3">
    <w:name w:val="Normal Indent"/>
    <w:basedOn w:val="1"/>
    <w:qFormat/>
    <w:uiPriority w:val="99"/>
    <w:pPr>
      <w:ind w:firstLine="420"/>
    </w:pPr>
    <w:rPr>
      <w:rFonts w:ascii="Calibri" w:hAnsi="Calibri"/>
    </w:r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line="360" w:lineRule="auto"/>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000000"/>
      <w:u w:val="none"/>
    </w:rPr>
  </w:style>
  <w:style w:type="character" w:styleId="12">
    <w:name w:val="Emphasis"/>
    <w:basedOn w:val="10"/>
    <w:qFormat/>
    <w:uiPriority w:val="0"/>
  </w:style>
  <w:style w:type="character" w:styleId="13">
    <w:name w:val="Hyperlink"/>
    <w:basedOn w:val="10"/>
    <w:qFormat/>
    <w:uiPriority w:val="0"/>
    <w:rPr>
      <w:color w:val="000000"/>
      <w:u w:val="none"/>
    </w:rPr>
  </w:style>
  <w:style w:type="paragraph" w:customStyle="1" w:styleId="14">
    <w:name w:val="p0"/>
    <w:basedOn w:val="1"/>
    <w:qFormat/>
    <w:uiPriority w:val="0"/>
    <w:pPr>
      <w:widowControl/>
    </w:pPr>
    <w:rPr>
      <w:kern w:val="0"/>
      <w:szCs w:val="21"/>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font01"/>
    <w:basedOn w:val="10"/>
    <w:qFormat/>
    <w:uiPriority w:val="0"/>
    <w:rPr>
      <w:rFonts w:ascii="Arial" w:hAnsi="Arial" w:cs="Arial"/>
      <w:color w:val="000000"/>
      <w:sz w:val="20"/>
      <w:szCs w:val="20"/>
      <w:u w:val="none"/>
    </w:rPr>
  </w:style>
  <w:style w:type="character" w:customStyle="1" w:styleId="17">
    <w:name w:val="font11"/>
    <w:basedOn w:val="10"/>
    <w:qFormat/>
    <w:uiPriority w:val="0"/>
    <w:rPr>
      <w:rFonts w:hint="eastAsia" w:ascii="宋体" w:hAnsi="宋体" w:eastAsia="宋体" w:cs="宋体"/>
      <w:color w:val="000000"/>
      <w:sz w:val="20"/>
      <w:szCs w:val="20"/>
      <w:u w:val="none"/>
    </w:rPr>
  </w:style>
  <w:style w:type="character" w:customStyle="1" w:styleId="18">
    <w:name w:val="a_p_2"/>
    <w:basedOn w:val="10"/>
    <w:qFormat/>
    <w:uiPriority w:val="0"/>
  </w:style>
  <w:style w:type="character" w:customStyle="1" w:styleId="19">
    <w:name w:val="a_p_21"/>
    <w:basedOn w:val="10"/>
    <w:qFormat/>
    <w:uiPriority w:val="0"/>
    <w:rPr>
      <w:sz w:val="27"/>
      <w:szCs w:val="27"/>
    </w:rPr>
  </w:style>
  <w:style w:type="character" w:customStyle="1" w:styleId="20">
    <w:name w:val="ul_li_a_1"/>
    <w:basedOn w:val="10"/>
    <w:qFormat/>
    <w:uiPriority w:val="0"/>
    <w:rPr>
      <w:b/>
      <w:bCs/>
      <w:color w:val="FFFFFF"/>
    </w:rPr>
  </w:style>
  <w:style w:type="character" w:customStyle="1" w:styleId="21">
    <w:name w:val="exap"/>
    <w:basedOn w:val="10"/>
    <w:qFormat/>
    <w:uiPriority w:val="0"/>
    <w:rPr>
      <w:sz w:val="27"/>
      <w:szCs w:val="27"/>
    </w:rPr>
  </w:style>
  <w:style w:type="character" w:customStyle="1" w:styleId="22">
    <w:name w:val="a_p_1"/>
    <w:basedOn w:val="10"/>
    <w:qFormat/>
    <w:uiPriority w:val="0"/>
    <w:rPr>
      <w:sz w:val="27"/>
      <w:szCs w:val="27"/>
    </w:rPr>
  </w:style>
  <w:style w:type="character" w:customStyle="1" w:styleId="23">
    <w:name w:val="a_p_3"/>
    <w:basedOn w:val="10"/>
    <w:qFormat/>
    <w:uiPriority w:val="0"/>
    <w:rPr>
      <w:sz w:val="27"/>
      <w:szCs w:val="27"/>
    </w:rPr>
  </w:style>
  <w:style w:type="character" w:customStyle="1" w:styleId="24">
    <w:name w:val="font51"/>
    <w:basedOn w:val="10"/>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32508;&#21512;&#32479;&#35745;\2-&#32508;&#21512;\&#32479;&#35745;&#20844;&#25253;\2023&#24180;&#32479;&#35745;&#20844;&#25253;\2023&#24180;&#32479;&#35745;&#20844;&#25253;&#65288;&#22270;&#34920;&#652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1  2019-2023</a:t>
            </a:r>
            <a:r>
              <a:rPr altLang="en-US">
                <a:solidFill>
                  <a:schemeClr val="tx1"/>
                </a:solidFill>
              </a:rPr>
              <a:t>年中站区三次产业增加值占地区生产总值比重</a:t>
            </a:r>
            <a:endParaRPr altLang="en-US">
              <a:solidFill>
                <a:schemeClr val="tx1"/>
              </a:solidFill>
            </a:endParaRPr>
          </a:p>
        </c:rich>
      </c:tx>
      <c:layout>
        <c:manualLayout>
          <c:xMode val="edge"/>
          <c:yMode val="edge"/>
          <c:x val="0.110429313335317"/>
          <c:y val="0.0173994421467556"/>
        </c:manualLayout>
      </c:layout>
      <c:overlay val="0"/>
      <c:spPr>
        <a:noFill/>
        <a:ln>
          <a:noFill/>
        </a:ln>
        <a:effectLst/>
      </c:spPr>
    </c:title>
    <c:autoTitleDeleted val="0"/>
    <c:plotArea>
      <c:layout>
        <c:manualLayout>
          <c:layoutTarget val="inner"/>
          <c:xMode val="edge"/>
          <c:yMode val="edge"/>
          <c:x val="0.0692869565217391"/>
          <c:y val="0.203252032520325"/>
          <c:w val="0.876684057971014"/>
          <c:h val="0.602648083623693"/>
        </c:manualLayout>
      </c:layout>
      <c:barChart>
        <c:barDir val="col"/>
        <c:grouping val="stacked"/>
        <c:varyColors val="0"/>
        <c:ser>
          <c:idx val="0"/>
          <c:order val="0"/>
          <c:tx>
            <c:strRef>
              <c:f>'[2023年统计公报（图表）.xlsx]Sheet1'!$B$21</c:f>
              <c:strCache>
                <c:ptCount val="1"/>
                <c:pt idx="0">
                  <c:v>第一产业</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'[2023年统计公报（图表）.xlsx]Sheet1'!$A$22:$A$26</c:f>
              <c:numCache>
                <c:formatCode>General</c:formatCode>
                <c:ptCount val="5"/>
                <c:pt idx="0">
                  <c:v>2019</c:v>
                </c:pt>
                <c:pt idx="1">
                  <c:v>2020</c:v>
                </c:pt>
                <c:pt idx="2">
                  <c:v>2021</c:v>
                </c:pt>
                <c:pt idx="3">
                  <c:v>2022</c:v>
                </c:pt>
                <c:pt idx="4">
                  <c:v>2023</c:v>
                </c:pt>
              </c:numCache>
            </c:numRef>
          </c:cat>
          <c:val>
            <c:numRef>
              <c:f>'[2023年统计公报（图表）.xlsx]Sheet1'!$B$22:$B$26</c:f>
              <c:numCache>
                <c:formatCode>General</c:formatCode>
                <c:ptCount val="5"/>
                <c:pt idx="0">
                  <c:v>0.5</c:v>
                </c:pt>
                <c:pt idx="1">
                  <c:v>0.5</c:v>
                </c:pt>
                <c:pt idx="2">
                  <c:v>0.4</c:v>
                </c:pt>
                <c:pt idx="3">
                  <c:v>0.4</c:v>
                </c:pt>
                <c:pt idx="4">
                  <c:v>0.4</c:v>
                </c:pt>
              </c:numCache>
            </c:numRef>
          </c:val>
        </c:ser>
        <c:ser>
          <c:idx val="1"/>
          <c:order val="1"/>
          <c:tx>
            <c:strRef>
              <c:f>'[2023年统计公报（图表）.xlsx]Sheet1'!$C$21</c:f>
              <c:strCache>
                <c:ptCount val="1"/>
                <c:pt idx="0">
                  <c:v>第二产业</c:v>
                </c:pt>
              </c:strCache>
            </c:strRef>
          </c:tx>
          <c:spPr>
            <a:solidFill>
              <a:schemeClr val="accent2"/>
            </a:solidFill>
            <a:ln>
              <a:noFill/>
            </a:ln>
            <a:effectLst/>
          </c:spPr>
          <c:invertIfNegative val="0"/>
          <c:dPt>
            <c:idx val="3"/>
            <c:invertIfNegative val="0"/>
            <c:bubble3D val="0"/>
            <c:spPr>
              <a:solidFill>
                <a:schemeClr val="accent2"/>
              </a:solidFill>
              <a:ln>
                <a:solidFill>
                  <a:schemeClr val="accent2"/>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'[2023年统计公报（图表）.xlsx]Sheet1'!$A$22:$A$26</c:f>
              <c:numCache>
                <c:formatCode>General</c:formatCode>
                <c:ptCount val="5"/>
                <c:pt idx="0">
                  <c:v>2019</c:v>
                </c:pt>
                <c:pt idx="1">
                  <c:v>2020</c:v>
                </c:pt>
                <c:pt idx="2">
                  <c:v>2021</c:v>
                </c:pt>
                <c:pt idx="3">
                  <c:v>2022</c:v>
                </c:pt>
                <c:pt idx="4">
                  <c:v>2023</c:v>
                </c:pt>
              </c:numCache>
            </c:numRef>
          </c:cat>
          <c:val>
            <c:numRef>
              <c:f>'[2023年统计公报（图表）.xlsx]Sheet1'!$C$22:$C$26</c:f>
              <c:numCache>
                <c:formatCode>General</c:formatCode>
                <c:ptCount val="5"/>
                <c:pt idx="0">
                  <c:v>70.4</c:v>
                </c:pt>
                <c:pt idx="1">
                  <c:v>73.6</c:v>
                </c:pt>
                <c:pt idx="2">
                  <c:v>74.6</c:v>
                </c:pt>
                <c:pt idx="3" c:formatCode="0.0_ ">
                  <c:v>73</c:v>
                </c:pt>
                <c:pt idx="4">
                  <c:v>72.8</c:v>
                </c:pt>
              </c:numCache>
            </c:numRef>
          </c:val>
        </c:ser>
        <c:ser>
          <c:idx val="2"/>
          <c:order val="2"/>
          <c:tx>
            <c:strRef>
              <c:f>'[2023年统计公报（图表）.xlsx]Sheet1'!$D$21</c:f>
              <c:strCache>
                <c:ptCount val="1"/>
                <c:pt idx="0">
                  <c:v>第三产业</c:v>
                </c:pt>
              </c:strCache>
            </c:strRef>
          </c:tx>
          <c:spPr>
            <a:solidFill>
              <a:schemeClr val="accent4">
                <a:lumMod val="60000"/>
                <a:lumOff val="40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'[2023年统计公报（图表）.xlsx]Sheet1'!$A$22:$A$26</c:f>
              <c:numCache>
                <c:formatCode>General</c:formatCode>
                <c:ptCount val="5"/>
                <c:pt idx="0">
                  <c:v>2019</c:v>
                </c:pt>
                <c:pt idx="1">
                  <c:v>2020</c:v>
                </c:pt>
                <c:pt idx="2">
                  <c:v>2021</c:v>
                </c:pt>
                <c:pt idx="3">
                  <c:v>2022</c:v>
                </c:pt>
                <c:pt idx="4">
                  <c:v>2023</c:v>
                </c:pt>
              </c:numCache>
            </c:numRef>
          </c:cat>
          <c:val>
            <c:numRef>
              <c:f>'[2023年统计公报（图表）.xlsx]Sheet1'!$D$22:$D$26</c:f>
              <c:numCache>
                <c:formatCode>General</c:formatCode>
                <c:ptCount val="5"/>
                <c:pt idx="0">
                  <c:v>29.1</c:v>
                </c:pt>
                <c:pt idx="1">
                  <c:v>25.9</c:v>
                </c:pt>
                <c:pt idx="2" c:formatCode="0.0_ ">
                  <c:v>25</c:v>
                </c:pt>
                <c:pt idx="3">
                  <c:v>26.6</c:v>
                </c:pt>
                <c:pt idx="4">
                  <c:v>26.8</c:v>
                </c:pt>
              </c:numCache>
            </c:numRef>
          </c:val>
        </c:ser>
        <c:dLbls>
          <c:showLegendKey val="0"/>
          <c:showVal val="1"/>
          <c:showCatName val="0"/>
          <c:showSerName val="0"/>
          <c:showPercent val="0"/>
          <c:showBubbleSize val="0"/>
        </c:dLbls>
        <c:gapWidth val="150"/>
        <c:overlap val="100"/>
        <c:axId val="657398009"/>
        <c:axId val="694465143"/>
      </c:barChart>
      <c:catAx>
        <c:axId val="65739800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solidFill>
                    <a:latin typeface="+mn-lt"/>
                    <a:ea typeface="+mn-ea"/>
                    <a:cs typeface="+mn-cs"/>
                  </a:defRPr>
                </a:pPr>
                <a:r>
                  <a:rPr lang="en-US" altLang="zh-CN"/>
                  <a:t>%</a:t>
                </a:r>
                <a:endParaRPr lang="en-US" altLang="zh-CN"/>
              </a:p>
            </c:rich>
          </c:tx>
          <c:layout>
            <c:manualLayout>
              <c:xMode val="edge"/>
              <c:yMode val="edge"/>
              <c:x val="0.0232811594202899"/>
              <c:y val="0.0866434378629501"/>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694465143"/>
        <c:crosses val="autoZero"/>
        <c:auto val="1"/>
        <c:lblAlgn val="ctr"/>
        <c:lblOffset val="100"/>
        <c:noMultiLvlLbl val="0"/>
      </c:catAx>
      <c:valAx>
        <c:axId val="694465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crossAx val="65739800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manualLayout>
          <c:xMode val="edge"/>
          <c:yMode val="edge"/>
          <c:x val="0.342666666666667"/>
          <c:y val="0.89477351916376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solidFill>
            <a:schemeClr val="tx1"/>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2  2019-2023</a:t>
            </a:r>
            <a:r>
              <a:rPr altLang="en-US">
                <a:solidFill>
                  <a:schemeClr val="tx1"/>
                </a:solidFill>
              </a:rPr>
              <a:t>年中站区常住人口城镇化率</a:t>
            </a:r>
            <a:endParaRPr altLang="en-US">
              <a:solidFill>
                <a:schemeClr val="tx1"/>
              </a:solidFill>
            </a:endParaRPr>
          </a:p>
        </c:rich>
      </c:tx>
      <c:layout/>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0520953924519565"/>
                  <c:y val="-0.055931018410626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86223662884927"/>
                  <c:y val="-0.041948263807970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03588793702246"/>
                  <c:y val="-0.048939641109298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51493401250289"/>
                  <c:y val="-0.052435329759962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03588793702246"/>
                  <c:y val="-0.03845257515730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'[2023年统计公报（图表）.xlsx]Sheet1'!$A$38:$A$42</c:f>
              <c:numCache>
                <c:formatCode>General</c:formatCode>
                <c:ptCount val="5"/>
                <c:pt idx="0">
                  <c:v>2019</c:v>
                </c:pt>
                <c:pt idx="1">
                  <c:v>2020</c:v>
                </c:pt>
                <c:pt idx="2">
                  <c:v>2021</c:v>
                </c:pt>
                <c:pt idx="3">
                  <c:v>2022</c:v>
                </c:pt>
                <c:pt idx="4">
                  <c:v>2023</c:v>
                </c:pt>
              </c:numCache>
            </c:numRef>
          </c:cat>
          <c:val>
            <c:numRef>
              <c:f>'[2023年统计公报（图表）.xlsx]Sheet1'!$B$38:$B$42</c:f>
              <c:numCache>
                <c:formatCode>0.00_ </c:formatCode>
                <c:ptCount val="5"/>
                <c:pt idx="0">
                  <c:v>76.95</c:v>
                </c:pt>
                <c:pt idx="1">
                  <c:v>78.42</c:v>
                </c:pt>
                <c:pt idx="2" c:formatCode="General">
                  <c:v>78.73</c:v>
                </c:pt>
                <c:pt idx="3" c:formatCode="General">
                  <c:v>79.04</c:v>
                </c:pt>
                <c:pt idx="4" c:formatCode="General">
                  <c:v>79.67</c:v>
                </c:pt>
              </c:numCache>
            </c:numRef>
          </c:val>
          <c:smooth val="0"/>
        </c:ser>
        <c:dLbls>
          <c:showLegendKey val="0"/>
          <c:showVal val="1"/>
          <c:showCatName val="0"/>
          <c:showSerName val="0"/>
          <c:showPercent val="0"/>
          <c:showBubbleSize val="0"/>
        </c:dLbls>
        <c:marker val="1"/>
        <c:smooth val="0"/>
        <c:axId val="90890122"/>
        <c:axId val="896145788"/>
      </c:lineChart>
      <c:catAx>
        <c:axId val="9089012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0221272866111111"/>
              <c:y val="0.0577953856909811"/>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6145788"/>
        <c:crosses val="autoZero"/>
        <c:auto val="1"/>
        <c:lblAlgn val="ctr"/>
        <c:lblOffset val="100"/>
        <c:noMultiLvlLbl val="0"/>
      </c:catAx>
      <c:valAx>
        <c:axId val="896145788"/>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89012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a:solidFill>
                  <a:schemeClr val="tx1"/>
                </a:solidFill>
              </a:rPr>
              <a:t>图</a:t>
            </a:r>
            <a:r>
              <a:rPr lang="en-US" altLang="zh-CN">
                <a:solidFill>
                  <a:schemeClr val="tx1"/>
                </a:solidFill>
              </a:rPr>
              <a:t>3  2019-2023</a:t>
            </a:r>
            <a:r>
              <a:rPr altLang="en-US">
                <a:solidFill>
                  <a:schemeClr val="tx1"/>
                </a:solidFill>
              </a:rPr>
              <a:t>年中站区城镇新增就业人数</a:t>
            </a:r>
            <a:r>
              <a:rPr lang="en-US" altLang="zh-CN">
                <a:solidFill>
                  <a:schemeClr val="tx1"/>
                </a:solidFill>
              </a:rPr>
              <a:t>  </a:t>
            </a:r>
            <a:endParaRPr lang="en-US" altLang="zh-CN">
              <a:solidFill>
                <a:schemeClr val="tx1"/>
              </a:solidFill>
            </a:endParaRPr>
          </a:p>
        </c:rich>
      </c:tx>
      <c:layout/>
      <c:overlay val="0"/>
      <c:spPr>
        <a:noFill/>
        <a:ln>
          <a:noFill/>
        </a:ln>
        <a:effectLst/>
      </c:spPr>
    </c:title>
    <c:autoTitleDeleted val="0"/>
    <c:plotArea>
      <c:layout>
        <c:manualLayout>
          <c:layoutTarget val="inner"/>
          <c:xMode val="edge"/>
          <c:yMode val="edge"/>
          <c:x val="0.0733885068189766"/>
          <c:y val="0.175084175084175"/>
          <c:w val="0.900967478727124"/>
          <c:h val="0.701459034792368"/>
        </c:manualLayout>
      </c:layout>
      <c:barChart>
        <c:barDir val="col"/>
        <c:grouping val="clustered"/>
        <c:varyColors val="0"/>
        <c:ser>
          <c:idx val="1"/>
          <c:order val="0"/>
          <c:spPr>
            <a:solidFill>
              <a:schemeClr val="accent2"/>
            </a:solidFill>
            <a:ln>
              <a:noFill/>
            </a:ln>
            <a:effectLst/>
          </c:spPr>
          <c:invertIfNegative val="0"/>
          <c:dLbls>
            <c:dLbl>
              <c:idx val="1"/>
              <c:layout>
                <c:manualLayout>
                  <c:x val="0"/>
                  <c:y val="0.013914656771799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'[2023年统计公报（图表）.xlsx]Sheet1'!$A$56:$A$60</c:f>
              <c:numCache>
                <c:formatCode>General</c:formatCode>
                <c:ptCount val="5"/>
                <c:pt idx="0">
                  <c:v>2019</c:v>
                </c:pt>
                <c:pt idx="1">
                  <c:v>2020</c:v>
                </c:pt>
                <c:pt idx="2">
                  <c:v>2021</c:v>
                </c:pt>
                <c:pt idx="3">
                  <c:v>2022</c:v>
                </c:pt>
                <c:pt idx="4">
                  <c:v>2023</c:v>
                </c:pt>
              </c:numCache>
            </c:numRef>
          </c:cat>
          <c:val>
            <c:numRef>
              <c:f>'[2023年统计公报（图表）.xlsx]Sheet1'!$B$56:$B$60</c:f>
              <c:numCache>
                <c:formatCode>General</c:formatCode>
                <c:ptCount val="5"/>
                <c:pt idx="0">
                  <c:v>4127</c:v>
                </c:pt>
                <c:pt idx="1">
                  <c:v>4311</c:v>
                </c:pt>
                <c:pt idx="2">
                  <c:v>3756</c:v>
                </c:pt>
                <c:pt idx="3">
                  <c:v>4076</c:v>
                </c:pt>
                <c:pt idx="4">
                  <c:v>4141</c:v>
                </c:pt>
              </c:numCache>
            </c:numRef>
          </c:val>
        </c:ser>
        <c:dLbls>
          <c:showLegendKey val="0"/>
          <c:showVal val="1"/>
          <c:showCatName val="0"/>
          <c:showSerName val="0"/>
          <c:showPercent val="0"/>
          <c:showBubbleSize val="0"/>
        </c:dLbls>
        <c:gapWidth val="219"/>
        <c:overlap val="-27"/>
        <c:axId val="204415859"/>
        <c:axId val="726736916"/>
      </c:barChart>
      <c:catAx>
        <c:axId val="20441585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    </a:t>
                </a:r>
                <a:r>
                  <a:t>人</a:t>
                </a:r>
              </a:p>
            </c:rich>
          </c:tx>
          <c:layout>
            <c:manualLayout>
              <c:xMode val="edge"/>
              <c:yMode val="edge"/>
              <c:x val="0.00349691106189533"/>
              <c:y val="0.0648709315375982"/>
            </c:manualLayout>
          </c:layout>
          <c:overlay val="0"/>
          <c:spPr>
            <a:noFill/>
            <a:ln>
              <a:noFill/>
            </a:ln>
            <a:effectLst/>
          </c:spPr>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6736916"/>
        <c:crosses val="autoZero"/>
        <c:auto val="1"/>
        <c:lblAlgn val="ctr"/>
        <c:lblOffset val="100"/>
        <c:noMultiLvlLbl val="0"/>
      </c:catAx>
      <c:valAx>
        <c:axId val="7267369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41585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solidFill>
                  <a:schemeClr val="tx1"/>
                </a:solidFill>
              </a:rPr>
              <a:t>图</a:t>
            </a:r>
            <a:r>
              <a:rPr lang="en-US" altLang="zh-CN">
                <a:solidFill>
                  <a:schemeClr val="tx1"/>
                </a:solidFill>
              </a:rPr>
              <a:t>4  2019-2023</a:t>
            </a:r>
            <a:r>
              <a:rPr altLang="en-US">
                <a:solidFill>
                  <a:schemeClr val="tx1"/>
                </a:solidFill>
              </a:rPr>
              <a:t>年中站区社会消费品零售总额及其增长速度</a:t>
            </a:r>
            <a:endParaRPr altLang="en-US">
              <a:solidFill>
                <a:schemeClr val="tx1"/>
              </a:solidFill>
            </a:endParaRPr>
          </a:p>
        </c:rich>
      </c:tx>
      <c:layout>
        <c:manualLayout>
          <c:xMode val="edge"/>
          <c:yMode val="edge"/>
          <c:x val="0.118260869565217"/>
          <c:y val="0.00662105495475612"/>
        </c:manualLayout>
      </c:layout>
      <c:overlay val="0"/>
      <c:spPr>
        <a:noFill/>
        <a:ln>
          <a:noFill/>
        </a:ln>
        <a:effectLst/>
      </c:spPr>
    </c:title>
    <c:autoTitleDeleted val="0"/>
    <c:plotArea>
      <c:layout>
        <c:manualLayout>
          <c:layoutTarget val="inner"/>
          <c:xMode val="edge"/>
          <c:yMode val="edge"/>
          <c:x val="0.0501565217391304"/>
          <c:y val="0.184727433237696"/>
          <c:w val="0.874063768115942"/>
          <c:h val="0.639461487530346"/>
        </c:manualLayout>
      </c:layout>
      <c:barChart>
        <c:barDir val="col"/>
        <c:grouping val="clustered"/>
        <c:varyColors val="0"/>
        <c:ser>
          <c:idx val="0"/>
          <c:order val="0"/>
          <c:tx>
            <c:strRef>
              <c:f>'[2023年统计公报（图表）.xlsx]Sheet1'!$B$148</c:f>
              <c:strCache>
                <c:ptCount val="1"/>
                <c:pt idx="0">
                  <c:v>社会消费品零售总额</c:v>
                </c:pt>
              </c:strCache>
            </c:strRef>
          </c:tx>
          <c:spPr>
            <a:solidFill>
              <a:schemeClr val="accent2"/>
            </a:solidFill>
            <a:ln>
              <a:noFill/>
            </a:ln>
            <a:effectLst/>
          </c:spPr>
          <c:invertIfNegative val="0"/>
          <c:dLbls>
            <c:dLbl>
              <c:idx val="2"/>
              <c:layout>
                <c:manualLayout>
                  <c:x val="0"/>
                  <c:y val="0.0185652074260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'[2023年统计公报（图表）.xlsx]Sheet1'!$A$149:$A$153</c:f>
              <c:numCache>
                <c:formatCode>General</c:formatCode>
                <c:ptCount val="5"/>
                <c:pt idx="0">
                  <c:v>2019</c:v>
                </c:pt>
                <c:pt idx="1">
                  <c:v>2020</c:v>
                </c:pt>
                <c:pt idx="2">
                  <c:v>2021</c:v>
                </c:pt>
                <c:pt idx="3">
                  <c:v>2022</c:v>
                </c:pt>
                <c:pt idx="4">
                  <c:v>2023</c:v>
                </c:pt>
              </c:numCache>
            </c:numRef>
          </c:cat>
          <c:val>
            <c:numRef>
              <c:f>'[2023年统计公报（图表）.xlsx]Sheet1'!$B$149:$B$153</c:f>
              <c:numCache>
                <c:formatCode>0.0_ </c:formatCode>
                <c:ptCount val="5"/>
                <c:pt idx="0">
                  <c:v>31.5</c:v>
                </c:pt>
                <c:pt idx="1">
                  <c:v>28.7</c:v>
                </c:pt>
                <c:pt idx="2">
                  <c:v>30.2</c:v>
                </c:pt>
                <c:pt idx="3">
                  <c:v>30.7</c:v>
                </c:pt>
                <c:pt idx="4">
                  <c:v>33.1</c:v>
                </c:pt>
              </c:numCache>
            </c:numRef>
          </c:val>
        </c:ser>
        <c:dLbls>
          <c:showLegendKey val="0"/>
          <c:showVal val="1"/>
          <c:showCatName val="0"/>
          <c:showSerName val="0"/>
          <c:showPercent val="0"/>
          <c:showBubbleSize val="0"/>
        </c:dLbls>
        <c:gapWidth val="219"/>
        <c:overlap val="-27"/>
        <c:axId val="966923619"/>
        <c:axId val="325179251"/>
      </c:barChart>
      <c:lineChart>
        <c:grouping val="standard"/>
        <c:varyColors val="0"/>
        <c:ser>
          <c:idx val="1"/>
          <c:order val="1"/>
          <c:tx>
            <c:strRef>
              <c:f>'[2023年统计公报（图表）.xlsx]Sheet1'!$C$148</c:f>
              <c:strCache>
                <c:ptCount val="1"/>
                <c:pt idx="0">
                  <c:v>比上年增长</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0.0114375150493619"/>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10546592824464"/>
                  <c:y val="-0.034380013752005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15579099446183"/>
                  <c:y val="0.015585606234242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31230435829521"/>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'[2023年统计公报（图表）.xlsx]Sheet1'!$A$149:$A$153</c:f>
              <c:numCache>
                <c:formatCode>General</c:formatCode>
                <c:ptCount val="5"/>
                <c:pt idx="0">
                  <c:v>2019</c:v>
                </c:pt>
                <c:pt idx="1">
                  <c:v>2020</c:v>
                </c:pt>
                <c:pt idx="2">
                  <c:v>2021</c:v>
                </c:pt>
                <c:pt idx="3">
                  <c:v>2022</c:v>
                </c:pt>
                <c:pt idx="4">
                  <c:v>2023</c:v>
                </c:pt>
              </c:numCache>
            </c:numRef>
          </c:cat>
          <c:val>
            <c:numRef>
              <c:f>'[2023年统计公报（图表）.xlsx]Sheet1'!$C$149:$C$153</c:f>
              <c:numCache>
                <c:formatCode>General</c:formatCode>
                <c:ptCount val="5"/>
                <c:pt idx="0">
                  <c:v>11.1</c:v>
                </c:pt>
                <c:pt idx="1">
                  <c:v>-12.1</c:v>
                </c:pt>
                <c:pt idx="2">
                  <c:v>5.4</c:v>
                </c:pt>
                <c:pt idx="3">
                  <c:v>1.7</c:v>
                </c:pt>
                <c:pt idx="4">
                  <c:v>7.6</c:v>
                </c:pt>
              </c:numCache>
            </c:numRef>
          </c:val>
          <c:smooth val="0"/>
        </c:ser>
        <c:dLbls>
          <c:showLegendKey val="0"/>
          <c:showVal val="1"/>
          <c:showCatName val="0"/>
          <c:showSerName val="0"/>
          <c:showPercent val="0"/>
          <c:showBubbleSize val="0"/>
        </c:dLbls>
        <c:marker val="1"/>
        <c:smooth val="0"/>
        <c:axId val="545254956"/>
        <c:axId val="79100076"/>
      </c:lineChart>
      <c:catAx>
        <c:axId val="54525495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亿元</a:t>
                </a:r>
              </a:p>
            </c:rich>
          </c:tx>
          <c:layout>
            <c:manualLayout>
              <c:xMode val="edge"/>
              <c:yMode val="edge"/>
              <c:x val="0.00347826086956522"/>
              <c:y val="0.0790196976637655"/>
            </c:manualLayout>
          </c:layout>
          <c:overlay val="0"/>
          <c:spPr>
            <a:noFill/>
            <a:ln>
              <a:noFill/>
            </a:ln>
            <a:effectLst/>
          </c:spPr>
        </c:title>
        <c:majorTickMark val="none"/>
        <c:minorTickMark val="none"/>
        <c:tickLblPos val="low"/>
        <c:spPr>
          <a:noFill/>
          <a:ln w="9525" cap="rnd" cmpd="sng" algn="ctr">
            <a:solidFill>
              <a:schemeClr val="tx1">
                <a:lumMod val="15000"/>
                <a:lumOff val="85000"/>
              </a:schemeClr>
            </a:solidFill>
            <a:round/>
          </a:ln>
          <a:effectLst/>
        </c:spPr>
        <c:txPr>
          <a:bodyPr rot="-60000000" spcFirstLastPara="0" vertOverflow="ellipsis" vert="horz" wrap="square" anchor="b" anchorCtr="1"/>
          <a:lstStyle/>
          <a:p>
            <a:pPr>
              <a:defRPr lang="zh-CN" sz="900" b="0" i="0" u="none" strike="noStrike" kern="1200" baseline="0">
                <a:solidFill>
                  <a:schemeClr val="tx1">
                    <a:lumMod val="65000"/>
                    <a:lumOff val="35000"/>
                  </a:schemeClr>
                </a:solidFill>
                <a:latin typeface="+mn-lt"/>
                <a:ea typeface="+mn-ea"/>
                <a:cs typeface="+mn-cs"/>
              </a:defRPr>
            </a:pPr>
          </a:p>
        </c:txPr>
        <c:crossAx val="79100076"/>
        <c:crosses val="autoZero"/>
        <c:auto val="1"/>
        <c:lblAlgn val="ctr"/>
        <c:lblOffset val="100"/>
        <c:noMultiLvlLbl val="0"/>
      </c:catAx>
      <c:valAx>
        <c:axId val="791000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5254956"/>
        <c:crosses val="autoZero"/>
        <c:crossBetween val="between"/>
      </c:valAx>
      <c:catAx>
        <c:axId val="966923619"/>
        <c:scaling>
          <c:orientation val="minMax"/>
        </c:scaling>
        <c:delete val="1"/>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94968115942029"/>
              <c:y val="0.0838666960935776"/>
            </c:manualLayout>
          </c:layout>
          <c:overlay val="0"/>
          <c:spPr>
            <a:noFill/>
            <a:ln>
              <a:noFill/>
            </a:ln>
            <a:effectLst/>
          </c:spPr>
        </c:title>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5179251"/>
        <c:crosses val="autoZero"/>
        <c:auto val="1"/>
        <c:lblAlgn val="ctr"/>
        <c:lblOffset val="100"/>
        <c:noMultiLvlLbl val="0"/>
      </c:catAx>
      <c:valAx>
        <c:axId val="325179251"/>
        <c:scaling>
          <c:orientation val="minMax"/>
        </c:scaling>
        <c:delete val="0"/>
        <c:axPos val="r"/>
        <c:numFmt formatCode="0.0_ "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6923619"/>
        <c:crosses val="max"/>
        <c:crossBetween val="between"/>
      </c:valAx>
      <c:spPr>
        <a:noFill/>
        <a:ln>
          <a:noFill/>
        </a:ln>
        <a:effectLst/>
      </c:spPr>
    </c:plotArea>
    <c:legend>
      <c:legendPos val="b"/>
      <c:layout>
        <c:manualLayout>
          <c:xMode val="edge"/>
          <c:yMode val="edge"/>
          <c:x val="0.259130434782609"/>
          <c:y val="0.89349519010536"/>
          <c:w val="0.502608695652174"/>
          <c:h val="0.099633531836921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spc="0" baseline="0">
                <a:solidFill>
                  <a:schemeClr val="tx1">
                    <a:lumMod val="65000"/>
                    <a:lumOff val="35000"/>
                  </a:schemeClr>
                </a:solidFill>
                <a:latin typeface="+mn-lt"/>
                <a:ea typeface="+mn-ea"/>
                <a:cs typeface="+mn-cs"/>
              </a:defRPr>
            </a:pPr>
            <a:r>
              <a:rPr b="0">
                <a:solidFill>
                  <a:schemeClr val="tx1"/>
                </a:solidFill>
              </a:rPr>
              <a:t>图</a:t>
            </a:r>
            <a:r>
              <a:rPr lang="en-US" altLang="zh-CN" b="0">
                <a:solidFill>
                  <a:schemeClr val="tx1"/>
                </a:solidFill>
              </a:rPr>
              <a:t>5  2019-2023</a:t>
            </a:r>
            <a:r>
              <a:rPr altLang="en-US" b="0">
                <a:solidFill>
                  <a:schemeClr val="tx1"/>
                </a:solidFill>
              </a:rPr>
              <a:t>年中站区一般公共预算收入及其增长速度</a:t>
            </a:r>
            <a:endParaRPr altLang="en-US" b="0">
              <a:solidFill>
                <a:schemeClr val="tx1"/>
              </a:solidFill>
            </a:endParaRPr>
          </a:p>
        </c:rich>
      </c:tx>
      <c:layout/>
      <c:overlay val="0"/>
      <c:spPr>
        <a:noFill/>
        <a:ln>
          <a:noFill/>
        </a:ln>
        <a:effectLst/>
      </c:spPr>
    </c:title>
    <c:autoTitleDeleted val="0"/>
    <c:plotArea>
      <c:layout>
        <c:manualLayout>
          <c:layoutTarget val="inner"/>
          <c:xMode val="edge"/>
          <c:yMode val="edge"/>
          <c:x val="0.0674292316580012"/>
          <c:y val="0.243961352657005"/>
          <c:w val="0.865141536683998"/>
          <c:h val="0.539951690821256"/>
        </c:manualLayout>
      </c:layout>
      <c:barChart>
        <c:barDir val="col"/>
        <c:grouping val="clustered"/>
        <c:varyColors val="0"/>
        <c:ser>
          <c:idx val="0"/>
          <c:order val="0"/>
          <c:tx>
            <c:strRef>
              <c:f>'[2023年统计公报（图表）.xlsx]Sheet1'!$B$165</c:f>
              <c:strCache>
                <c:ptCount val="1"/>
                <c:pt idx="0">
                  <c:v>一般公共预算收入</c:v>
                </c:pt>
              </c:strCache>
            </c:strRef>
          </c:tx>
          <c:spPr>
            <a:solidFill>
              <a:schemeClr val="accent2"/>
            </a:solidFill>
            <a:ln>
              <a:noFill/>
            </a:ln>
            <a:effectLst/>
          </c:spPr>
          <c:invertIfNegative val="0"/>
          <c:dLbls>
            <c:dLbl>
              <c:idx val="0"/>
              <c:layout>
                <c:manualLayout>
                  <c:x val="0"/>
                  <c:y val="0.025362318840579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25362318840579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346620450606586"/>
                  <c:y val="0.0362318840579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73310225303293"/>
                  <c:y val="0.0362318840579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73310225303293"/>
                  <c:y val="0.018115942028985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'[2023年统计公报（图表）.xlsx]Sheet1'!$A$166:$A$170</c:f>
              <c:numCache>
                <c:formatCode>General</c:formatCode>
                <c:ptCount val="5"/>
                <c:pt idx="0">
                  <c:v>2019</c:v>
                </c:pt>
                <c:pt idx="1">
                  <c:v>2020</c:v>
                </c:pt>
                <c:pt idx="2">
                  <c:v>2021</c:v>
                </c:pt>
                <c:pt idx="3">
                  <c:v>2022</c:v>
                </c:pt>
                <c:pt idx="4">
                  <c:v>2023</c:v>
                </c:pt>
              </c:numCache>
            </c:numRef>
          </c:cat>
          <c:val>
            <c:numRef>
              <c:f>'[2023年统计公报（图表）.xlsx]Sheet1'!$B$166:$B$170</c:f>
              <c:numCache>
                <c:formatCode>0.0_ </c:formatCode>
                <c:ptCount val="5"/>
                <c:pt idx="0">
                  <c:v>8.3858</c:v>
                </c:pt>
                <c:pt idx="1">
                  <c:v>8.856</c:v>
                </c:pt>
                <c:pt idx="2">
                  <c:v>10.1378</c:v>
                </c:pt>
                <c:pt idx="3">
                  <c:v>11.5</c:v>
                </c:pt>
                <c:pt idx="4">
                  <c:v>12.5694</c:v>
                </c:pt>
              </c:numCache>
            </c:numRef>
          </c:val>
        </c:ser>
        <c:dLbls>
          <c:showLegendKey val="0"/>
          <c:showVal val="0"/>
          <c:showCatName val="0"/>
          <c:showSerName val="0"/>
          <c:showPercent val="0"/>
          <c:showBubbleSize val="0"/>
        </c:dLbls>
        <c:gapWidth val="219"/>
        <c:overlap val="-27"/>
        <c:axId val="617009024"/>
        <c:axId val="127959882"/>
      </c:barChart>
      <c:lineChart>
        <c:grouping val="standard"/>
        <c:varyColors val="0"/>
        <c:ser>
          <c:idx val="1"/>
          <c:order val="1"/>
          <c:tx>
            <c:strRef>
              <c:f>'[2023年统计公报（图表）.xlsx]Sheet1'!$C$165</c:f>
              <c:strCache>
                <c:ptCount val="1"/>
                <c:pt idx="0">
                  <c:v>比上年增长</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0.0072289156626506"/>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67937608318891"/>
                  <c:y val="-0.050724637681159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90641247833622"/>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73310225303293"/>
                  <c:y val="0"/>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'[2023年统计公报（图表）.xlsx]Sheet1'!$A$166:$A$170</c:f>
              <c:numCache>
                <c:formatCode>General</c:formatCode>
                <c:ptCount val="5"/>
                <c:pt idx="0">
                  <c:v>2019</c:v>
                </c:pt>
                <c:pt idx="1">
                  <c:v>2020</c:v>
                </c:pt>
                <c:pt idx="2">
                  <c:v>2021</c:v>
                </c:pt>
                <c:pt idx="3">
                  <c:v>2022</c:v>
                </c:pt>
                <c:pt idx="4">
                  <c:v>2023</c:v>
                </c:pt>
              </c:numCache>
            </c:numRef>
          </c:cat>
          <c:val>
            <c:numRef>
              <c:f>'[2023年统计公报（图表）.xlsx]Sheet1'!$C$166:$C$170</c:f>
              <c:numCache>
                <c:formatCode>0.0_ </c:formatCode>
                <c:ptCount val="5"/>
                <c:pt idx="0">
                  <c:v>14</c:v>
                </c:pt>
                <c:pt idx="1">
                  <c:v>5.6</c:v>
                </c:pt>
                <c:pt idx="2">
                  <c:v>15.6</c:v>
                </c:pt>
                <c:pt idx="3">
                  <c:v>13.5</c:v>
                </c:pt>
                <c:pt idx="4">
                  <c:v>9.2</c:v>
                </c:pt>
              </c:numCache>
            </c:numRef>
          </c:val>
          <c:smooth val="0"/>
        </c:ser>
        <c:dLbls>
          <c:showLegendKey val="0"/>
          <c:showVal val="0"/>
          <c:showCatName val="0"/>
          <c:showSerName val="0"/>
          <c:showPercent val="0"/>
          <c:showBubbleSize val="0"/>
        </c:dLbls>
        <c:marker val="1"/>
        <c:smooth val="0"/>
        <c:axId val="866502174"/>
        <c:axId val="507380944"/>
      </c:lineChart>
      <c:catAx>
        <c:axId val="61700902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亿元</a:t>
                </a:r>
              </a:p>
            </c:rich>
          </c:tx>
          <c:layout>
            <c:manualLayout>
              <c:xMode val="edge"/>
              <c:yMode val="edge"/>
              <c:x val="0.00595031773541306"/>
              <c:y val="0.146376811594203"/>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959882"/>
        <c:crosses val="autoZero"/>
        <c:auto val="1"/>
        <c:lblAlgn val="ctr"/>
        <c:lblOffset val="100"/>
        <c:noMultiLvlLbl val="0"/>
      </c:catAx>
      <c:valAx>
        <c:axId val="127959882"/>
        <c:scaling>
          <c:orientation val="minMax"/>
        </c:scaling>
        <c:delete val="0"/>
        <c:axPos val="l"/>
        <c:majorGridlines>
          <c:spPr>
            <a:ln w="9525" cap="flat" cmpd="sng" algn="ctr">
              <a:solidFill>
                <a:schemeClr val="tx1">
                  <a:lumMod val="15000"/>
                  <a:lumOff val="85000"/>
                </a:schemeClr>
              </a:solidFill>
              <a:round/>
            </a:ln>
            <a:effectLst/>
          </c:spPr>
        </c:majorGridlines>
        <c:numFmt formatCode="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7009024"/>
        <c:crosses val="autoZero"/>
        <c:crossBetween val="between"/>
      </c:valAx>
      <c:catAx>
        <c:axId val="866502174"/>
        <c:scaling>
          <c:orientation val="minMax"/>
        </c:scaling>
        <c:delete val="1"/>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a:t>
                </a:r>
                <a:endParaRPr lang="en-US" altLang="zh-CN"/>
              </a:p>
            </c:rich>
          </c:tx>
          <c:layout>
            <c:manualLayout>
              <c:xMode val="edge"/>
              <c:yMode val="edge"/>
              <c:x val="0.949740034662045"/>
              <c:y val="0.142270531400966"/>
            </c:manualLayout>
          </c:layout>
          <c:overlay val="0"/>
          <c:spPr>
            <a:noFill/>
            <a:ln>
              <a:noFill/>
            </a:ln>
            <a:effectLst/>
          </c:spPr>
        </c:title>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380944"/>
        <c:crosses val="autoZero"/>
        <c:auto val="1"/>
        <c:lblAlgn val="ctr"/>
        <c:lblOffset val="100"/>
        <c:noMultiLvlLbl val="0"/>
      </c:catAx>
      <c:valAx>
        <c:axId val="507380944"/>
        <c:scaling>
          <c:orientation val="minMax"/>
        </c:scaling>
        <c:delete val="0"/>
        <c:axPos val="r"/>
        <c:numFmt formatCode="0.0_ "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50217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5400</Words>
  <Characters>6466</Characters>
  <Lines>29</Lines>
  <Paragraphs>8</Paragraphs>
  <TotalTime>56</TotalTime>
  <ScaleCrop>false</ScaleCrop>
  <LinksUpToDate>false</LinksUpToDate>
  <CharactersWithSpaces>6563</CharactersWithSpaces>
  <Application>WPS Office_12.1.0.17813_F1E327BC-269C-435d-A152-05C5408002CA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2020-05-15T00:43:00Z</dcterms:created>
  <dc:creator>自由快乐雨</dc:creator>
  <cp:lastModifiedBy>雯雯</cp:lastModifiedBy>
  <cp:lastPrinted>2024-07-29T10:03:00Z</cp:lastPrinted>
  <dcterms:modified xsi:type="dcterms:W3CDTF">2024-07-31T01:33:13Z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2052-12.1.0.17813</vt:lpwstr>
  </property>
  <property fmtid="{D5CDD505-2E9C-101B-9397-08002B2CF9AE}" pid="3" name="ICV">
    <vt:lpwstr>92E8ABE4B7DE428E8A44D9AF2F4C2A3E_13</vt:lpwstr>
  </property>
</Properties>
</file>