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5D5FE">
      <w:pPr>
        <w:widowControl w:val="0"/>
        <w:kinsoku/>
        <w:autoSpaceDE/>
        <w:autoSpaceDN w:val="0"/>
        <w:adjustRightInd/>
        <w:snapToGrid/>
        <w:spacing w:line="26" w:lineRule="atLeas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4"/>
          <w:kern w:val="2"/>
          <w:sz w:val="44"/>
          <w:szCs w:val="44"/>
          <w:lang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spacing w:val="4"/>
          <w:kern w:val="2"/>
          <w:sz w:val="44"/>
          <w:szCs w:val="44"/>
          <w:lang w:val="en-US" w:eastAsia="zh-CN" w:bidi="ar-SA"/>
        </w:rPr>
        <w:t>中站区</w:t>
      </w:r>
      <w:r>
        <w:rPr>
          <w:rFonts w:hint="default" w:ascii="Times New Roman" w:hAnsi="Times New Roman" w:eastAsia="方正小标宋简体" w:cs="Times New Roman"/>
          <w:snapToGrid/>
          <w:spacing w:val="4"/>
          <w:kern w:val="2"/>
          <w:sz w:val="44"/>
          <w:szCs w:val="44"/>
          <w:lang w:eastAsia="zh-CN" w:bidi="ar-SA"/>
        </w:rPr>
        <w:t>第五次全国经济普查公报 (第七号)</w:t>
      </w:r>
    </w:p>
    <w:p w14:paraId="5973EA5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楷体" w:cs="Times New Roman"/>
          <w:snapToGrid/>
          <w:color w:val="333333"/>
          <w:kern w:val="0"/>
          <w:sz w:val="36"/>
          <w:szCs w:val="36"/>
          <w:lang w:eastAsia="zh-CN" w:bidi="ar-SA"/>
        </w:rPr>
      </w:pPr>
      <w:r>
        <w:rPr>
          <w:rFonts w:hint="default" w:ascii="Times New Roman" w:hAnsi="Times New Roman" w:eastAsia="楷体" w:cs="Times New Roman"/>
          <w:snapToGrid/>
          <w:color w:val="333333"/>
          <w:kern w:val="0"/>
          <w:sz w:val="36"/>
          <w:szCs w:val="36"/>
          <w:lang w:eastAsia="zh-CN" w:bidi="ar-SA"/>
        </w:rPr>
        <w:t>——分区域单位和从业人员情况</w:t>
      </w:r>
    </w:p>
    <w:p w14:paraId="21C162AC">
      <w:pPr>
        <w:spacing w:line="260" w:lineRule="auto"/>
        <w:rPr>
          <w:rFonts w:ascii="Times New Roman" w:hAnsi="Times New Roman"/>
          <w:sz w:val="21"/>
        </w:rPr>
      </w:pPr>
    </w:p>
    <w:p w14:paraId="5217E5D5">
      <w:pPr>
        <w:spacing w:line="261" w:lineRule="auto"/>
        <w:rPr>
          <w:rFonts w:ascii="Times New Roman" w:hAnsi="Times New Roman"/>
          <w:sz w:val="21"/>
        </w:rPr>
      </w:pPr>
    </w:p>
    <w:p w14:paraId="2F322E5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val="en-US" w:eastAsia="zh-CN" w:bidi="ar-SA"/>
        </w:rPr>
        <w:t>中站区</w:t>
      </w:r>
      <w:r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eastAsia="zh-CN" w:bidi="ar-SA"/>
        </w:rPr>
        <w:t>统计局</w:t>
      </w:r>
    </w:p>
    <w:p w14:paraId="6AC4C4B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val="en-US" w:eastAsia="zh-CN" w:bidi="ar-SA"/>
        </w:rPr>
        <w:t>中站区</w:t>
      </w:r>
      <w:r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eastAsia="zh-CN" w:bidi="ar-SA"/>
        </w:rPr>
        <w:t>第五次全国经济普查领导小组办公室</w:t>
      </w:r>
    </w:p>
    <w:p w14:paraId="3E91247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eastAsia="zh-CN" w:bidi="ar-SA"/>
        </w:rPr>
        <w:t xml:space="preserve">（2025 年 </w:t>
      </w:r>
      <w:r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eastAsia="zh-CN" w:bidi="ar-SA"/>
        </w:rPr>
        <w:t xml:space="preserve"> 月 </w:t>
      </w:r>
      <w:r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val="en-US" w:eastAsia="zh-CN" w:bidi="ar-SA"/>
        </w:rPr>
        <w:t>30</w:t>
      </w:r>
      <w:bookmarkStart w:id="0" w:name="_GoBack"/>
      <w:bookmarkEnd w:id="0"/>
      <w:r>
        <w:rPr>
          <w:rFonts w:hint="eastAsia" w:ascii="Times New Roman" w:hAnsi="Times New Roman" w:eastAsia="楷体" w:cs="Times New Roman"/>
          <w:snapToGrid/>
          <w:color w:val="000000"/>
          <w:kern w:val="0"/>
          <w:sz w:val="32"/>
          <w:szCs w:val="32"/>
          <w:lang w:eastAsia="zh-CN" w:bidi="ar-SA"/>
        </w:rPr>
        <w:t xml:space="preserve"> 日）</w:t>
      </w:r>
    </w:p>
    <w:p w14:paraId="425DB99C">
      <w:pPr>
        <w:spacing w:line="302" w:lineRule="auto"/>
        <w:rPr>
          <w:rFonts w:ascii="Times New Roman" w:hAnsi="Times New Roman"/>
          <w:sz w:val="21"/>
        </w:rPr>
      </w:pPr>
    </w:p>
    <w:p w14:paraId="5E530167">
      <w:pPr>
        <w:spacing w:line="303" w:lineRule="auto"/>
        <w:rPr>
          <w:rFonts w:ascii="Times New Roman" w:hAnsi="Times New Roman"/>
          <w:sz w:val="21"/>
        </w:rPr>
      </w:pPr>
    </w:p>
    <w:p w14:paraId="24214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根据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中站区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第五次全国经济普查结果，现将全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分区域第二产业和第三产业单位及从业人员基本情况公布如下：</w:t>
      </w:r>
    </w:p>
    <w:p w14:paraId="474A2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黑体" w:cs="Times New Roman"/>
          <w:snapToGrid/>
          <w:color w:val="000000"/>
          <w:kern w:val="0"/>
          <w:sz w:val="32"/>
          <w:szCs w:val="32"/>
          <w:lang w:eastAsia="zh-CN" w:bidi="ar-SA"/>
        </w:rPr>
        <w:t>一、单位情况</w:t>
      </w:r>
    </w:p>
    <w:p w14:paraId="5EBF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2023年末，全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 xml:space="preserve">共有第二产业和第三产业法人单位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2863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个，位居前三位的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街道办事处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是：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许衡街道办事处1188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个，占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41.5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%；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府城街道办事处604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个，占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21.1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%；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李封街道办事处317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个，占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11.1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 w:bidi="ar-SA"/>
        </w:rPr>
        <w:t>% （详见表7-1）。</w:t>
      </w:r>
    </w:p>
    <w:p w14:paraId="2039D64E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center"/>
        <w:rPr>
          <w:rFonts w:hint="eastAsia" w:ascii="Times New Roman" w:hAnsi="Times New Roman" w:eastAsia="宋体" w:cs="宋体"/>
          <w:b/>
          <w:i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5A8ED2D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center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宋体" w:cs="宋体"/>
          <w:b/>
          <w:i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表 7-1  按地区分组的法人单位数和产业活动单位数</w:t>
      </w:r>
    </w:p>
    <w:tbl>
      <w:tblPr>
        <w:tblStyle w:val="6"/>
        <w:tblW w:w="812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1367"/>
        <w:gridCol w:w="1271"/>
        <w:gridCol w:w="1369"/>
        <w:gridCol w:w="1291"/>
      </w:tblGrid>
      <w:tr w14:paraId="0BD6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23" w:type="dxa"/>
            <w:vMerge w:val="restart"/>
            <w:tcBorders>
              <w:top w:val="single" w:color="000000" w:sz="12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A16A2EA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8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10D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法人单位</w:t>
            </w:r>
          </w:p>
        </w:tc>
        <w:tc>
          <w:tcPr>
            <w:tcW w:w="2660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836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产业活动单位</w:t>
            </w:r>
          </w:p>
        </w:tc>
      </w:tr>
      <w:tr w14:paraId="24F5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23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D15719D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比重（%）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DDF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比重（%）</w:t>
            </w:r>
          </w:p>
        </w:tc>
      </w:tr>
      <w:tr w14:paraId="3D18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82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466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合计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552E4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83760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CB4AE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3E6379C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</w:t>
            </w:r>
          </w:p>
        </w:tc>
      </w:tr>
      <w:tr w14:paraId="53F8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82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F27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李封街道办事处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CEBF1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8BCD8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30655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3789B00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</w:t>
            </w:r>
          </w:p>
        </w:tc>
      </w:tr>
      <w:tr w14:paraId="555D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82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8F9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王封街道办事处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4E93C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DF04B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4AF4A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55136D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</w:t>
            </w:r>
          </w:p>
        </w:tc>
      </w:tr>
      <w:tr w14:paraId="536D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82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D18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朱村街道办事处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04FA9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099DD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554CD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399771D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</w:t>
            </w:r>
          </w:p>
        </w:tc>
      </w:tr>
      <w:tr w14:paraId="12D7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82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DC0495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冯封街道办事处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9D1F5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E1745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3AC95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2612D33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</w:tr>
      <w:tr w14:paraId="6FCA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82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66D3B0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龙洞街道办事处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75BA9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6E5F7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76BD7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9FF197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</w:tr>
      <w:tr w14:paraId="2C87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82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457810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月山街道办事处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9FD93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8E718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93429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A0A521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</w:tr>
      <w:tr w14:paraId="6AD2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82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CE0283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丹河街道办事处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58561F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F8EE4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8CCB4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6B8D9BE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78C9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82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57FAAB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许衡街道办事处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A4488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1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91676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41.5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DD57E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3FF8757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39.7</w:t>
            </w:r>
          </w:p>
        </w:tc>
      </w:tr>
      <w:tr w14:paraId="741C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82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8AA476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府城街道办事处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BD7A4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27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EC054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21.1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03056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6529CBC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21.2</w:t>
            </w:r>
          </w:p>
        </w:tc>
      </w:tr>
      <w:tr w14:paraId="7021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823" w:type="dxa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6EFE94F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龙翔街道办事处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11ACC7E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271" w:type="dxa"/>
            <w:tcBorders>
              <w:top w:val="nil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682E6DA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1369" w:type="dxa"/>
            <w:tcBorders>
              <w:top w:val="nil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13F08EE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91" w:type="dxa"/>
            <w:tcBorders>
              <w:top w:val="nil"/>
              <w:left w:val="single" w:color="000000" w:sz="4" w:space="0"/>
              <w:bottom w:val="single" w:color="auto" w:sz="12" w:space="0"/>
              <w:right w:val="nil"/>
            </w:tcBorders>
            <w:noWrap/>
            <w:vAlign w:val="center"/>
          </w:tcPr>
          <w:p w14:paraId="461F4E4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</w:t>
            </w:r>
          </w:p>
        </w:tc>
      </w:tr>
    </w:tbl>
    <w:p w14:paraId="6E991647">
      <w:pPr>
        <w:rPr>
          <w:rFonts w:ascii="Times New Roman" w:hAnsi="Times New Roman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1440" w:right="1803" w:bottom="1440" w:left="1803" w:header="0" w:footer="95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7D433D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 w:firstLine="668" w:firstLineChars="200"/>
        <w:jc w:val="both"/>
        <w:outlineLvl w:val="1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pacing w:val="7"/>
          <w:sz w:val="32"/>
          <w:szCs w:val="32"/>
        </w:rPr>
        <w:t>二、从业人员</w:t>
      </w:r>
    </w:p>
    <w:p w14:paraId="1895F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2023年末，全区第二产业和第三产业法人单位从业人员 5.4万人，位居前三位的街道办事处是：许衡街道办事处2.6万人，占47.9%；府城街道办事处1.0万人，占18.4%；冯封街道办事处0.5万人，占9.9%。</w:t>
      </w:r>
    </w:p>
    <w:p w14:paraId="5721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/>
          <w:sz w:val="21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按地区分组的法人单位从业人员情况（详见表7-2）。</w:t>
      </w:r>
    </w:p>
    <w:tbl>
      <w:tblPr>
        <w:tblStyle w:val="6"/>
        <w:tblW w:w="84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4"/>
        <w:gridCol w:w="2430"/>
        <w:gridCol w:w="2476"/>
      </w:tblGrid>
      <w:tr w14:paraId="0603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3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表7-2　按地区分组的法人单位从业人员</w:t>
            </w:r>
          </w:p>
        </w:tc>
      </w:tr>
      <w:tr w14:paraId="7BDD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24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BB58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B10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法人单位从业人员</w:t>
            </w:r>
          </w:p>
        </w:tc>
        <w:tc>
          <w:tcPr>
            <w:tcW w:w="2476" w:type="dxa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21627D05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13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24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D095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F2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其中：女性（人）</w:t>
            </w:r>
          </w:p>
        </w:tc>
      </w:tr>
      <w:tr w14:paraId="149B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52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6A63799C">
            <w:pPr>
              <w:pStyle w:val="10"/>
              <w:spacing w:before="85" w:line="222" w:lineRule="auto"/>
              <w:ind w:left="1468" w:leftChars="0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7"/>
              </w:rPr>
              <w:t>合</w:t>
            </w:r>
            <w:r>
              <w:rPr>
                <w:rFonts w:ascii="Times New Roman" w:hAnsi="Times New Roman"/>
                <w:color w:val="000000"/>
                <w:spacing w:val="5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</w:rPr>
              <w:t>计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96A645">
            <w:pPr>
              <w:pStyle w:val="10"/>
              <w:spacing w:before="86" w:line="241" w:lineRule="auto"/>
              <w:ind w:left="739" w:leftChars="0"/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pacing w:val="-4"/>
                <w:lang w:val="en-US" w:eastAsia="zh-CN"/>
              </w:rPr>
              <w:t>53968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1433D50">
            <w:pPr>
              <w:pStyle w:val="10"/>
              <w:spacing w:before="86" w:line="241" w:lineRule="auto"/>
              <w:ind w:left="739" w:leftChars="0"/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pacing w:val="-4"/>
                <w:lang w:val="en-US" w:eastAsia="zh-CN"/>
              </w:rPr>
              <w:t>16643</w:t>
            </w:r>
          </w:p>
        </w:tc>
      </w:tr>
      <w:tr w14:paraId="0F5A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52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A7A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李封街道办事处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AE140C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3867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103F9171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1994</w:t>
            </w:r>
          </w:p>
        </w:tc>
      </w:tr>
      <w:tr w14:paraId="2CD6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52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D43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王封街道办事处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840838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2559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53711A7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1309</w:t>
            </w:r>
          </w:p>
        </w:tc>
      </w:tr>
      <w:tr w14:paraId="625F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52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B8F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朱村街道办事处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CCD282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2860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094B078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553</w:t>
            </w:r>
          </w:p>
        </w:tc>
      </w:tr>
      <w:tr w14:paraId="2FE8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52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CB9930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冯封街道办事处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9761A9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5325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B36EDAE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1227</w:t>
            </w:r>
          </w:p>
        </w:tc>
      </w:tr>
      <w:tr w14:paraId="1654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52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0A5275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龙洞街道办事处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5A0087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1191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16A6DD0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323</w:t>
            </w:r>
          </w:p>
        </w:tc>
      </w:tr>
      <w:tr w14:paraId="6EA2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52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7F5E57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月山街道办事处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BA3594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794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5843A14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152</w:t>
            </w:r>
          </w:p>
        </w:tc>
      </w:tr>
      <w:tr w14:paraId="5456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52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B1FFE3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丹河街道办事处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837945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3B7F6A6">
            <w:pPr>
              <w:pStyle w:val="10"/>
              <w:spacing w:before="98" w:line="241" w:lineRule="auto"/>
              <w:ind w:left="842" w:leftChars="0"/>
              <w:jc w:val="right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—</w:t>
            </w:r>
          </w:p>
        </w:tc>
      </w:tr>
      <w:tr w14:paraId="1765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52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85E234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许衡街道办事处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CCD64D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25869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64091E2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8128</w:t>
            </w:r>
          </w:p>
        </w:tc>
      </w:tr>
      <w:tr w14:paraId="6A55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52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77AA6D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府城街道办事处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054B3D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9912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753B6A6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2425</w:t>
            </w:r>
          </w:p>
        </w:tc>
      </w:tr>
      <w:tr w14:paraId="40A2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524" w:type="dxa"/>
            <w:tcBorders>
              <w:top w:val="nil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08BE59C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龙翔街道办事处</w:t>
            </w:r>
          </w:p>
        </w:tc>
        <w:tc>
          <w:tcPr>
            <w:tcW w:w="2430" w:type="dxa"/>
            <w:tcBorders>
              <w:top w:val="nil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0A56D700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1591</w:t>
            </w:r>
          </w:p>
        </w:tc>
        <w:tc>
          <w:tcPr>
            <w:tcW w:w="2476" w:type="dxa"/>
            <w:tcBorders>
              <w:top w:val="nil"/>
              <w:left w:val="single" w:color="000000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3ACA9E58">
            <w:pPr>
              <w:pStyle w:val="10"/>
              <w:spacing w:before="98" w:line="241" w:lineRule="auto"/>
              <w:ind w:left="842" w:leftChars="0"/>
              <w:jc w:val="righ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532</w:t>
            </w:r>
          </w:p>
        </w:tc>
      </w:tr>
    </w:tbl>
    <w:p w14:paraId="0CD7C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0"/>
          <w:sz w:val="32"/>
          <w:szCs w:val="32"/>
          <w:lang w:val="en-US" w:eastAsia="zh-CN" w:bidi="ar-SA"/>
        </w:rPr>
        <w:t>三、开发区情况</w:t>
      </w:r>
    </w:p>
    <w:p w14:paraId="4530F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2023年末，焦作经济技术开发区(西部)共有第二产业和第三产业“规上”法人单位72个，占全市7.7%。</w:t>
      </w:r>
    </w:p>
    <w:p w14:paraId="6DA3A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  <w:t>2023年末，焦作经济技术开发区(西部)共有第二产业和第三产业“规上”法人单位从业人员1.8万人，占全市13.4%。</w:t>
      </w:r>
    </w:p>
    <w:p w14:paraId="2A4DD5A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/>
        <w:jc w:val="both"/>
        <w:rPr>
          <w:rFonts w:ascii="Times New Roman" w:hAnsi="Times New Roman"/>
        </w:rPr>
      </w:pPr>
    </w:p>
    <w:p w14:paraId="72A1731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/>
        <w:jc w:val="both"/>
        <w:rPr>
          <w:rFonts w:ascii="Times New Roman" w:hAnsi="Times New Roman"/>
        </w:rPr>
      </w:pPr>
    </w:p>
    <w:p w14:paraId="3362FA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wordWrap/>
        <w:overflowPunct/>
        <w:topLinePunct w:val="0"/>
        <w:bidi w:val="0"/>
        <w:spacing w:beforeAutospacing="0" w:after="0" w:afterAutospacing="0" w:line="560" w:lineRule="exact"/>
        <w:ind w:right="0"/>
        <w:jc w:val="both"/>
        <w:rPr>
          <w:rStyle w:val="8"/>
          <w:rFonts w:hint="default" w:ascii="Times New Roman" w:hAnsi="Times New Roman" w:eastAsia="宋体" w:cs="Times New Roman"/>
          <w:color w:val="auto"/>
          <w:szCs w:val="24"/>
          <w:lang w:eastAsia="zh-CN"/>
        </w:rPr>
      </w:pPr>
    </w:p>
    <w:p w14:paraId="04BB9D8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wordWrap/>
        <w:overflowPunct/>
        <w:topLinePunct w:val="0"/>
        <w:bidi w:val="0"/>
        <w:spacing w:beforeAutospacing="0" w:after="0" w:afterAutospacing="0" w:line="560" w:lineRule="exact"/>
        <w:ind w:right="0" w:firstLine="562" w:firstLineChars="200"/>
        <w:jc w:val="both"/>
        <w:rPr>
          <w:rStyle w:val="8"/>
          <w:rFonts w:hint="eastAsia" w:ascii="黑体" w:hAnsi="黑体" w:eastAsia="黑体" w:cs="黑体"/>
          <w:b/>
          <w:bCs/>
          <w:color w:val="auto"/>
          <w:sz w:val="28"/>
          <w:szCs w:val="28"/>
          <w:lang w:eastAsia="zh-CN"/>
        </w:rPr>
      </w:pPr>
      <w:r>
        <w:rPr>
          <w:rStyle w:val="8"/>
          <w:rFonts w:hint="eastAsia" w:ascii="黑体" w:hAnsi="黑体" w:eastAsia="黑体" w:cs="黑体"/>
          <w:b/>
          <w:bCs/>
          <w:color w:val="auto"/>
          <w:sz w:val="28"/>
          <w:szCs w:val="28"/>
          <w:lang w:eastAsia="zh-CN"/>
        </w:rPr>
        <w:t>注释：</w:t>
      </w:r>
    </w:p>
    <w:p w14:paraId="44ABE56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420" w:firstLineChars="200"/>
        <w:jc w:val="both"/>
        <w:textAlignment w:val="auto"/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[</w:t>
      </w:r>
      <w:r>
        <w:rPr>
          <w:rFonts w:hint="eastAsia" w:ascii="Times New Roman" w:hAnsi="Times New Roman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</w:t>
      </w: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]开发区指国家或省政府批复设立的经济功能区，包括165个先进制造业开发区和19个现代服务业开发区。</w:t>
      </w:r>
    </w:p>
    <w:p w14:paraId="6D1DE93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jc w:val="both"/>
        <w:textAlignment w:val="baseline"/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[</w:t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]“规上”法人单位，指规模以上工业、有资质的建筑业、限额以上批发和零售业、限额以上住宿和餐饮业、有开发经营活动的房地产开发经营业、规模以上服务业法人单位。</w:t>
      </w:r>
    </w:p>
    <w:p w14:paraId="3D9FA04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jc w:val="both"/>
        <w:textAlignment w:val="baseline"/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规模以上工业：年主营业务收入2000万元及以上的工业法人单位。</w:t>
      </w:r>
    </w:p>
    <w:p w14:paraId="7A737B7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jc w:val="both"/>
        <w:textAlignment w:val="baseline"/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有资质的建筑业：有总承包和专业承包资质的建筑业法人单位。</w:t>
      </w:r>
    </w:p>
    <w:p w14:paraId="3E6E273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jc w:val="both"/>
        <w:textAlignment w:val="baseline"/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限额以上批发和零售业：年主营业务收入2000万元及以上的批发业、年主营业务收入500万元及以上的零售业法人单位。</w:t>
      </w:r>
    </w:p>
    <w:p w14:paraId="5C9B059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jc w:val="both"/>
        <w:textAlignment w:val="baseline"/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限额以上住宿和餐饮业：年主营业务收入200万元及以上的住宿和餐饮业法人单位。</w:t>
      </w:r>
    </w:p>
    <w:p w14:paraId="5BABE9F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有开发经营活动的房地产开发经营业：有开发经营活动的房地产开发经营业法人单位。</w:t>
      </w:r>
    </w:p>
    <w:p w14:paraId="40D2E4E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jc w:val="both"/>
        <w:textAlignment w:val="baseline"/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规模以上服务业：年营业收入2000万元及以上服务业法人单位，包括：交通运输、仓储和邮政业，信息传输、软件和信息技术服务业，水利、环境和公共设施管理业，卫生；年营业收入1000万元及以上服务业法人单位，包括：租赁和商务服务业，科学研究和技术服务业，教育，以及物业管理、房地产中介服务、房地产租赁经营和其他房地产业；年营业收入500万元及以上服务业法人单位，包括：居民服务、修理和其他服务业，文化、体育和娱乐业，社会工作。</w:t>
      </w:r>
    </w:p>
    <w:p w14:paraId="6D07F64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jc w:val="both"/>
        <w:textAlignment w:val="baseline"/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[</w:t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3</w:t>
      </w: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]表中的合计数和部分计算数据因小数取舍而产生的误差，均未作机械调整。为保证数据精确度，个别数据保留2位小数。</w:t>
      </w:r>
    </w:p>
    <w:p w14:paraId="6064B4F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jc w:val="both"/>
        <w:textAlignment w:val="baseline"/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[</w:t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4</w:t>
      </w: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]</w:t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各</w:t>
      </w: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街道办事处法人单位数</w:t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</w:t>
      </w: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产业活动单位数</w:t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和</w:t>
      </w:r>
      <w:r>
        <w:rPr>
          <w:rFonts w:hint="default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法人单位从业人员</w:t>
      </w:r>
      <w:r>
        <w:rPr>
          <w:rFonts w:hint="eastAsia" w:ascii="Times New Roman" w:hAnsi="Times New Roman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数均根据行政区划代码汇总，与各街道办事处实际管辖不同。</w:t>
      </w:r>
    </w:p>
    <w:p w14:paraId="7C86883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right="0"/>
        <w:jc w:val="both"/>
        <w:rPr>
          <w:rFonts w:ascii="Times New Roman" w:hAnsi="Times New Roman" w:eastAsia="宋体" w:cs="宋体"/>
          <w:sz w:val="21"/>
          <w:szCs w:val="21"/>
        </w:rPr>
      </w:pPr>
    </w:p>
    <w:sectPr>
      <w:footerReference r:id="rId7" w:type="default"/>
      <w:pgSz w:w="11907" w:h="16839"/>
      <w:pgMar w:top="1431" w:right="1732" w:bottom="1159" w:left="1785" w:header="0" w:footer="95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44479">
    <w:pPr>
      <w:spacing w:line="223" w:lineRule="auto"/>
      <w:ind w:left="4042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E2F1F">
    <w:pPr>
      <w:spacing w:line="223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E2FC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4369"/>
    <w:rsid w:val="03327FC8"/>
    <w:rsid w:val="033C2BF5"/>
    <w:rsid w:val="0768220B"/>
    <w:rsid w:val="07E85EB3"/>
    <w:rsid w:val="0BB52D44"/>
    <w:rsid w:val="0C4072B2"/>
    <w:rsid w:val="0CA02447"/>
    <w:rsid w:val="129C545E"/>
    <w:rsid w:val="16EB2510"/>
    <w:rsid w:val="18C63235"/>
    <w:rsid w:val="1A5959E3"/>
    <w:rsid w:val="1CD114E8"/>
    <w:rsid w:val="24863878"/>
    <w:rsid w:val="24A65CC9"/>
    <w:rsid w:val="25DC55B9"/>
    <w:rsid w:val="28425F5D"/>
    <w:rsid w:val="28C64B8B"/>
    <w:rsid w:val="298C36DF"/>
    <w:rsid w:val="2E945DCC"/>
    <w:rsid w:val="2EF20488"/>
    <w:rsid w:val="30710BD4"/>
    <w:rsid w:val="31327262"/>
    <w:rsid w:val="35B53FBD"/>
    <w:rsid w:val="35D412B7"/>
    <w:rsid w:val="36160F00"/>
    <w:rsid w:val="39B12F2D"/>
    <w:rsid w:val="39BC3B6C"/>
    <w:rsid w:val="3B8071F3"/>
    <w:rsid w:val="41526B64"/>
    <w:rsid w:val="445E3797"/>
    <w:rsid w:val="480453E4"/>
    <w:rsid w:val="49A370C0"/>
    <w:rsid w:val="49BC54C3"/>
    <w:rsid w:val="4D0C050F"/>
    <w:rsid w:val="4D7302FC"/>
    <w:rsid w:val="4F7F171E"/>
    <w:rsid w:val="51986815"/>
    <w:rsid w:val="52322F00"/>
    <w:rsid w:val="526767CD"/>
    <w:rsid w:val="555869E7"/>
    <w:rsid w:val="5A063411"/>
    <w:rsid w:val="5A160C1F"/>
    <w:rsid w:val="5A2D7F09"/>
    <w:rsid w:val="5BAC3FE7"/>
    <w:rsid w:val="5C166CB5"/>
    <w:rsid w:val="5F6146EB"/>
    <w:rsid w:val="62C61CFE"/>
    <w:rsid w:val="64667FAC"/>
    <w:rsid w:val="68390B74"/>
    <w:rsid w:val="6A9F4F8F"/>
    <w:rsid w:val="6DFD245F"/>
    <w:rsid w:val="724834E8"/>
    <w:rsid w:val="72AB448D"/>
    <w:rsid w:val="77625195"/>
    <w:rsid w:val="79ED6E4F"/>
    <w:rsid w:val="7F8245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bCs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1326</Words>
  <Characters>1580</Characters>
  <TotalTime>6</TotalTime>
  <ScaleCrop>false</ScaleCrop>
  <LinksUpToDate>false</LinksUpToDate>
  <CharactersWithSpaces>1597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2025-05-30T10:14:00Z</dcterms:created>
  <dc:creator>Administrator</dc:creator>
  <cp:lastModifiedBy>随遇而安</cp:lastModifiedBy>
  <cp:lastPrinted>2025-06-21T13:33:00Z</cp:lastPrinted>
  <dcterms:modified xsi:type="dcterms:W3CDTF">2025-07-29T09:01:48Z</dcterms:modified>
  <dc:title>关于召开全市单位清查现场入户登记工作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2025-06-03T09:46:58Z</vt:filetime>
  </property>
  <property fmtid="{D5CDD505-2E9C-101B-9397-08002B2CF9AE}" pid="4" name="KSOTemplateDocerSaveRecord">
    <vt:lpwstr>eyJoZGlkIjoiZTIwN2MyYzM2MDAyMzUzYzQxYmZiNjlkNDFjYTEyZmIiLCJ1c2VySWQiOiI4NzgwOTc5MzQifQ==</vt:lpwstr>
  </property>
  <property fmtid="{D5CDD505-2E9C-101B-9397-08002B2CF9AE}" pid="5" name="KSOProductBuildVer">
    <vt:lpwstr>2052-12.1.0.21915</vt:lpwstr>
  </property>
  <property fmtid="{D5CDD505-2E9C-101B-9397-08002B2CF9AE}" pid="6" name="ICV">
    <vt:lpwstr>544836CE31144C0986918F214AAD4C9F_13</vt:lpwstr>
  </property>
</Properties>
</file>