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auto"/>
          <w:spacing w:val="8"/>
          <w:sz w:val="44"/>
          <w:szCs w:val="44"/>
        </w:rPr>
      </w:pPr>
      <w:bookmarkStart w:id="0" w:name="_GoBack"/>
      <w:bookmarkEnd w:id="0"/>
      <w:r>
        <w:rPr>
          <w:rStyle w:val="5"/>
          <w:rFonts w:hint="eastAsia" w:ascii="宋体" w:hAnsi="宋体" w:eastAsia="宋体" w:cs="宋体"/>
          <w:b/>
          <w:bCs w:val="0"/>
          <w:i w:val="0"/>
          <w:iCs w:val="0"/>
          <w:caps w:val="0"/>
          <w:color w:val="auto"/>
          <w:spacing w:val="8"/>
          <w:sz w:val="44"/>
          <w:szCs w:val="44"/>
          <w:bdr w:val="none" w:color="auto" w:sz="0" w:space="0"/>
          <w:shd w:val="clear" w:fill="FFFFFF"/>
        </w:rPr>
        <w:t>关于对中高风险地区及关联城市来（返）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auto"/>
          <w:spacing w:val="8"/>
          <w:sz w:val="44"/>
          <w:szCs w:val="44"/>
        </w:rPr>
      </w:pPr>
      <w:r>
        <w:rPr>
          <w:rStyle w:val="5"/>
          <w:rFonts w:hint="eastAsia" w:ascii="宋体" w:hAnsi="宋体" w:eastAsia="宋体" w:cs="宋体"/>
          <w:b/>
          <w:bCs w:val="0"/>
          <w:i w:val="0"/>
          <w:iCs w:val="0"/>
          <w:caps w:val="0"/>
          <w:color w:val="auto"/>
          <w:spacing w:val="8"/>
          <w:sz w:val="44"/>
          <w:szCs w:val="44"/>
          <w:bdr w:val="none" w:color="auto" w:sz="0" w:space="0"/>
          <w:shd w:val="clear" w:fill="FFFFFF"/>
          <w:lang w:val="en-US" w:eastAsia="zh-CN"/>
        </w:rPr>
        <w:t>中站</w:t>
      </w:r>
      <w:r>
        <w:rPr>
          <w:rStyle w:val="5"/>
          <w:rFonts w:hint="eastAsia" w:ascii="宋体" w:hAnsi="宋体" w:eastAsia="宋体" w:cs="宋体"/>
          <w:b/>
          <w:bCs w:val="0"/>
          <w:i w:val="0"/>
          <w:iCs w:val="0"/>
          <w:caps w:val="0"/>
          <w:color w:val="auto"/>
          <w:spacing w:val="8"/>
          <w:sz w:val="44"/>
          <w:szCs w:val="44"/>
          <w:bdr w:val="none" w:color="auto" w:sz="0" w:space="0"/>
          <w:shd w:val="clear" w:fill="FFFFFF"/>
        </w:rPr>
        <w:t>区人员加强管控的通告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鉴于当前疫情形势复杂严峻，为坚决筑牢我区“外防输入”防线，进一步增强上海等中高风险地区返区人员报备自觉性和主动性，确保能够在最短时间、最小范围控制阻断疫情，按照省、市疫情防控政策要求，经区疫情防控指挥部研究，决定从即日起，对上海等中高风险地区所有来（返）中站人员全部实行闭环转运和集中隔离，现将有关事项通告如下：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非必要不来（返）中站，确需来（返）中站的须提前进行“线上+线下”双报备。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线上</w:t>
      </w:r>
      <w:r>
        <w:rPr>
          <w:rFonts w:hint="eastAsia" w:ascii="仿宋" w:hAnsi="仿宋" w:eastAsia="仿宋" w:cs="仿宋"/>
          <w:color w:val="000008"/>
          <w:kern w:val="0"/>
          <w:sz w:val="31"/>
          <w:szCs w:val="31"/>
          <w:lang w:val="en-US" w:eastAsia="zh-CN" w:bidi="ar"/>
        </w:rPr>
        <w:t>可以通过扫码进入豫事办的来（返）豫报备系统，或者通过支付宝，依次打开支付宝 -&gt; 豫事办 -&gt; 来（返）豫报备，进入登记页面。</w:t>
      </w:r>
      <w:r>
        <w:rPr>
          <w:rFonts w:hint="eastAsia" w:ascii="仿宋" w:hAnsi="仿宋" w:eastAsia="仿宋" w:cs="仿宋"/>
          <w:sz w:val="32"/>
          <w:szCs w:val="32"/>
        </w:rPr>
        <w:t>线下向目的地所在街道办事处进行报备，报备时要将抵达中站时间、地点、车辆等信息详细告知，抵达中站后由区指挥部办公室派专用车辆闭环转运至集中隔离点，落实14天集中隔离。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二、凡提前报备并按疫情防控指挥部要求，落实闭环转运和14天集中隔离措施的，免除转运及隔离费用。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三、凡未落实报备手续来（返）中站或未按要求落实点对点闭环转运措施的，被排查后将对本人开展流调，本人和所接触的人员均实行14天集中隔离，所产生的转运及隔离费用由个人自费承担。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Style w:val="5"/>
          <w:rFonts w:hint="eastAsia" w:ascii="黑体" w:hAnsi="黑体" w:eastAsia="黑体" w:cs="黑体"/>
          <w:color w:val="auto"/>
          <w:spacing w:val="8"/>
          <w:sz w:val="32"/>
          <w:szCs w:val="32"/>
          <w:bdr w:val="none" w:color="auto" w:sz="0" w:space="0"/>
          <w:shd w:val="clear" w:fill="FFFFFF"/>
        </w:rPr>
        <w:t>一、电话报备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60" w:lineRule="atLeast"/>
        <w:ind w:left="0" w:right="0"/>
        <w:jc w:val="center"/>
        <w:rPr>
          <w:rStyle w:val="5"/>
          <w:sz w:val="44"/>
          <w:szCs w:val="44"/>
          <w:bdr w:val="none" w:color="auto" w:sz="0" w:space="0"/>
        </w:rPr>
      </w:pPr>
      <w:r>
        <w:rPr>
          <w:rStyle w:val="5"/>
          <w:sz w:val="44"/>
          <w:szCs w:val="44"/>
          <w:bdr w:val="none" w:color="auto" w:sz="0" w:space="0"/>
        </w:rPr>
        <w:t>报备方式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60" w:lineRule="atLeast"/>
        <w:ind w:left="0" w:right="0"/>
        <w:jc w:val="center"/>
        <w:rPr>
          <w:rStyle w:val="5"/>
          <w:sz w:val="44"/>
          <w:szCs w:val="44"/>
          <w:bdr w:val="none" w:color="auto" w:sz="0" w:space="0"/>
        </w:rPr>
      </w:pPr>
    </w:p>
    <w:tbl>
      <w:tblPr>
        <w:tblW w:w="7950" w:type="dxa"/>
        <w:tblInd w:w="24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200"/>
        <w:gridCol w:w="3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4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660" w:lineRule="atLeast"/>
              <w:ind w:left="0" w:right="0"/>
              <w:jc w:val="center"/>
              <w:rPr>
                <w:b w:val="0"/>
                <w:bCs/>
                <w:sz w:val="32"/>
                <w:szCs w:val="32"/>
              </w:rPr>
            </w:pPr>
            <w:r>
              <w:rPr>
                <w:rStyle w:val="5"/>
                <w:rFonts w:ascii="仿宋_GB2312" w:eastAsia="仿宋_GB2312" w:cs="仿宋_GB2312"/>
                <w:b w:val="0"/>
                <w:bCs/>
                <w:sz w:val="32"/>
                <w:szCs w:val="32"/>
                <w:bdr w:val="none" w:color="auto" w:sz="0" w:space="0"/>
              </w:rPr>
              <w:t>单位</w:t>
            </w:r>
          </w:p>
        </w:tc>
        <w:tc>
          <w:tcPr>
            <w:tcW w:w="3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660" w:lineRule="atLeast"/>
              <w:ind w:left="0" w:right="0"/>
              <w:jc w:val="center"/>
              <w:rPr>
                <w:b w:val="0"/>
                <w:bCs/>
                <w:sz w:val="32"/>
                <w:szCs w:val="32"/>
              </w:rPr>
            </w:pPr>
            <w:r>
              <w:rPr>
                <w:rStyle w:val="5"/>
                <w:rFonts w:hint="default" w:ascii="仿宋_GB2312" w:eastAsia="仿宋_GB2312" w:cs="仿宋_GB2312"/>
                <w:b w:val="0"/>
                <w:bCs/>
                <w:sz w:val="32"/>
                <w:szCs w:val="32"/>
                <w:bdr w:val="none" w:color="auto" w:sz="0" w:space="0"/>
              </w:rPr>
              <w:t>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42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660" w:lineRule="atLeast"/>
              <w:ind w:left="0" w:right="0"/>
              <w:jc w:val="center"/>
              <w:rPr>
                <w:rFonts w:hint="default" w:eastAsia="仿宋_GB2312"/>
                <w:b w:val="0"/>
                <w:bCs/>
                <w:sz w:val="32"/>
                <w:szCs w:val="32"/>
                <w:lang w:val="en-US" w:eastAsia="zh-CN"/>
              </w:rPr>
            </w:pPr>
            <w:r>
              <w:rPr>
                <w:rStyle w:val="5"/>
                <w:rFonts w:hint="default" w:ascii="仿宋_GB2312" w:eastAsia="仿宋_GB2312" w:cs="仿宋_GB2312"/>
                <w:b w:val="0"/>
                <w:bCs/>
                <w:sz w:val="32"/>
                <w:szCs w:val="32"/>
                <w:bdr w:val="none" w:color="auto" w:sz="0" w:space="0"/>
              </w:rPr>
              <w:t>区疫情防控指挥部</w:t>
            </w:r>
            <w:r>
              <w:rPr>
                <w:rStyle w:val="5"/>
                <w:rFonts w:hint="eastAsia" w:ascii="仿宋_GB2312" w:eastAsia="仿宋_GB2312" w:cs="仿宋_GB2312"/>
                <w:b w:val="0"/>
                <w:bCs/>
                <w:sz w:val="32"/>
                <w:szCs w:val="32"/>
                <w:bdr w:val="none" w:color="auto" w:sz="0" w:space="0"/>
                <w:lang w:val="en-US" w:eastAsia="zh-CN"/>
              </w:rPr>
              <w:t>办公室</w:t>
            </w:r>
          </w:p>
        </w:tc>
        <w:tc>
          <w:tcPr>
            <w:tcW w:w="37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660" w:lineRule="atLeast"/>
              <w:ind w:left="0" w:right="0"/>
              <w:jc w:val="center"/>
              <w:rPr>
                <w:rFonts w:hint="default" w:eastAsiaTheme="minorEastAsia"/>
                <w:b w:val="0"/>
                <w:bCs/>
                <w:sz w:val="32"/>
                <w:szCs w:val="32"/>
                <w:lang w:val="en-US" w:eastAsia="zh-CN"/>
              </w:rPr>
            </w:pPr>
            <w:r>
              <w:rPr>
                <w:rStyle w:val="5"/>
                <w:rFonts w:hint="eastAsia" w:ascii="仿宋_GB2312" w:eastAsia="仿宋_GB2312" w:cs="仿宋_GB2312"/>
                <w:b w:val="0"/>
                <w:bCs/>
                <w:sz w:val="32"/>
                <w:szCs w:val="32"/>
                <w:bdr w:val="none" w:color="auto" w:sz="0" w:space="0"/>
                <w:lang w:val="en-US" w:eastAsia="zh-CN"/>
              </w:rPr>
              <w:t>0391-2946001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42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hd w:val="clear" w:color="auto" w:fill="auto"/>
              <w:jc w:val="center"/>
              <w:textAlignment w:val="center"/>
              <w:rPr>
                <w:b w:val="0"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32"/>
                <w:szCs w:val="32"/>
                <w:highlight w:val="none"/>
              </w:rPr>
              <w:t>许衡街道</w:t>
            </w:r>
          </w:p>
        </w:tc>
        <w:tc>
          <w:tcPr>
            <w:tcW w:w="37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hd w:val="clear" w:color="auto" w:fill="auto"/>
              <w:jc w:val="center"/>
              <w:textAlignment w:val="center"/>
              <w:rPr>
                <w:b w:val="0"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32"/>
                <w:szCs w:val="32"/>
                <w:highlight w:val="none"/>
              </w:rPr>
              <w:t>0391-3279002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42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hd w:val="clear" w:color="auto" w:fill="auto"/>
              <w:jc w:val="center"/>
              <w:textAlignment w:val="center"/>
              <w:rPr>
                <w:b w:val="0"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32"/>
                <w:szCs w:val="32"/>
                <w:highlight w:val="none"/>
              </w:rPr>
              <w:t>府城街道</w:t>
            </w:r>
          </w:p>
        </w:tc>
        <w:tc>
          <w:tcPr>
            <w:tcW w:w="37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hd w:val="clear" w:color="auto" w:fill="auto"/>
              <w:jc w:val="center"/>
              <w:textAlignment w:val="center"/>
              <w:rPr>
                <w:b w:val="0"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32"/>
                <w:szCs w:val="32"/>
                <w:highlight w:val="none"/>
              </w:rPr>
              <w:t>0391-2753345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</w:trPr>
        <w:tc>
          <w:tcPr>
            <w:tcW w:w="42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hd w:val="clear" w:color="auto" w:fill="auto"/>
              <w:jc w:val="center"/>
              <w:textAlignment w:val="center"/>
              <w:rPr>
                <w:b w:val="0"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32"/>
                <w:szCs w:val="32"/>
                <w:highlight w:val="none"/>
              </w:rPr>
              <w:t>龙翔街道</w:t>
            </w:r>
          </w:p>
        </w:tc>
        <w:tc>
          <w:tcPr>
            <w:tcW w:w="37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hd w:val="clear" w:color="auto" w:fill="auto"/>
              <w:jc w:val="center"/>
              <w:textAlignment w:val="center"/>
              <w:rPr>
                <w:b w:val="0"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32"/>
                <w:szCs w:val="32"/>
                <w:highlight w:val="none"/>
              </w:rPr>
              <w:t>0391-285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32"/>
                <w:szCs w:val="32"/>
                <w:highlight w:val="none"/>
              </w:rPr>
              <w:t>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</w:trPr>
        <w:tc>
          <w:tcPr>
            <w:tcW w:w="42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hd w:val="clear" w:color="auto" w:fill="auto"/>
              <w:jc w:val="center"/>
              <w:textAlignment w:val="center"/>
              <w:rPr>
                <w:b w:val="0"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32"/>
                <w:szCs w:val="32"/>
                <w:highlight w:val="none"/>
              </w:rPr>
              <w:t>李封街道</w:t>
            </w:r>
          </w:p>
        </w:tc>
        <w:tc>
          <w:tcPr>
            <w:tcW w:w="37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hd w:val="clear" w:color="auto" w:fill="auto"/>
              <w:jc w:val="center"/>
              <w:textAlignment w:val="center"/>
              <w:rPr>
                <w:b w:val="0"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32"/>
                <w:szCs w:val="32"/>
                <w:highlight w:val="none"/>
              </w:rPr>
              <w:t>0391-2956565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</w:trPr>
        <w:tc>
          <w:tcPr>
            <w:tcW w:w="42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hd w:val="clear" w:color="auto" w:fill="auto"/>
              <w:jc w:val="center"/>
              <w:textAlignment w:val="center"/>
              <w:rPr>
                <w:b w:val="0"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32"/>
                <w:szCs w:val="32"/>
                <w:highlight w:val="none"/>
              </w:rPr>
              <w:t>王封街道</w:t>
            </w:r>
          </w:p>
        </w:tc>
        <w:tc>
          <w:tcPr>
            <w:tcW w:w="37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hd w:val="clear" w:color="auto" w:fill="auto"/>
              <w:jc w:val="center"/>
              <w:textAlignment w:val="center"/>
              <w:rPr>
                <w:b w:val="0"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32"/>
                <w:szCs w:val="32"/>
                <w:highlight w:val="none"/>
              </w:rPr>
              <w:t>0391-2105753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</w:trPr>
        <w:tc>
          <w:tcPr>
            <w:tcW w:w="42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hd w:val="clear" w:color="auto" w:fill="auto"/>
              <w:jc w:val="center"/>
              <w:textAlignment w:val="center"/>
              <w:rPr>
                <w:b w:val="0"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32"/>
                <w:szCs w:val="32"/>
                <w:highlight w:val="none"/>
              </w:rPr>
              <w:t>朱村街道</w:t>
            </w:r>
          </w:p>
        </w:tc>
        <w:tc>
          <w:tcPr>
            <w:tcW w:w="37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hd w:val="clear" w:color="auto" w:fill="auto"/>
              <w:jc w:val="center"/>
              <w:textAlignment w:val="center"/>
              <w:rPr>
                <w:b w:val="0"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32"/>
                <w:szCs w:val="32"/>
                <w:highlight w:val="none"/>
              </w:rPr>
              <w:t>0391-8768708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</w:trPr>
        <w:tc>
          <w:tcPr>
            <w:tcW w:w="42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hd w:val="clear" w:color="auto" w:fill="auto"/>
              <w:jc w:val="center"/>
              <w:textAlignment w:val="center"/>
              <w:rPr>
                <w:b w:val="0"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32"/>
                <w:szCs w:val="32"/>
                <w:highlight w:val="none"/>
              </w:rPr>
              <w:t>冯封街道</w:t>
            </w:r>
          </w:p>
        </w:tc>
        <w:tc>
          <w:tcPr>
            <w:tcW w:w="37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hd w:val="clear" w:color="auto" w:fill="auto"/>
              <w:jc w:val="center"/>
              <w:textAlignment w:val="center"/>
              <w:rPr>
                <w:b w:val="0"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32"/>
                <w:szCs w:val="32"/>
                <w:highlight w:val="none"/>
              </w:rPr>
              <w:t>0391-2956630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</w:trPr>
        <w:tc>
          <w:tcPr>
            <w:tcW w:w="42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hd w:val="clear" w:color="auto" w:fill="auto"/>
              <w:jc w:val="center"/>
              <w:textAlignment w:val="center"/>
              <w:rPr>
                <w:b w:val="0"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32"/>
                <w:szCs w:val="32"/>
                <w:highlight w:val="none"/>
              </w:rPr>
              <w:t>龙洞街道</w:t>
            </w:r>
          </w:p>
        </w:tc>
        <w:tc>
          <w:tcPr>
            <w:tcW w:w="37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hd w:val="clear" w:color="auto" w:fill="auto"/>
              <w:jc w:val="center"/>
              <w:textAlignment w:val="center"/>
              <w:rPr>
                <w:b w:val="0"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32"/>
                <w:szCs w:val="32"/>
                <w:highlight w:val="none"/>
              </w:rPr>
              <w:t>0391-2853008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42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hd w:val="clear" w:color="auto" w:fill="auto"/>
              <w:jc w:val="center"/>
              <w:textAlignment w:val="center"/>
              <w:rPr>
                <w:b w:val="0"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32"/>
                <w:szCs w:val="32"/>
                <w:highlight w:val="none"/>
              </w:rPr>
              <w:t>月山街道</w:t>
            </w:r>
          </w:p>
        </w:tc>
        <w:tc>
          <w:tcPr>
            <w:tcW w:w="37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hd w:val="clear" w:color="auto" w:fill="auto"/>
              <w:jc w:val="center"/>
              <w:textAlignment w:val="center"/>
              <w:rPr>
                <w:b w:val="0"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32"/>
                <w:szCs w:val="32"/>
                <w:highlight w:val="none"/>
              </w:rPr>
              <w:t>0391-2043407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/>
        <w:jc w:val="left"/>
        <w:rPr>
          <w:rStyle w:val="5"/>
          <w:rFonts w:hint="eastAsia" w:ascii="黑体" w:hAnsi="黑体" w:eastAsia="黑体" w:cs="黑体"/>
          <w:color w:val="auto"/>
          <w:spacing w:val="8"/>
          <w:sz w:val="32"/>
          <w:szCs w:val="32"/>
          <w:shd w:val="clear" w:fill="FFFFFF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/>
        <w:jc w:val="left"/>
        <w:rPr>
          <w:rStyle w:val="5"/>
          <w:rFonts w:hint="eastAsia" w:ascii="黑体" w:hAnsi="黑体" w:eastAsia="黑体" w:cs="黑体"/>
          <w:color w:val="auto"/>
          <w:spacing w:val="8"/>
          <w:sz w:val="32"/>
          <w:szCs w:val="32"/>
          <w:shd w:val="clear" w:fill="FFFFFF"/>
          <w:lang w:val="en-US" w:eastAsia="zh-CN"/>
        </w:rPr>
      </w:pPr>
      <w:r>
        <w:rPr>
          <w:rStyle w:val="5"/>
          <w:rFonts w:hint="eastAsia" w:ascii="黑体" w:hAnsi="黑体" w:eastAsia="黑体" w:cs="黑体"/>
          <w:color w:val="auto"/>
          <w:spacing w:val="8"/>
          <w:sz w:val="32"/>
          <w:szCs w:val="32"/>
          <w:shd w:val="clear" w:fill="FFFFFF"/>
          <w:lang w:val="en-US" w:eastAsia="zh-CN"/>
        </w:rPr>
        <w:t>二、来（返）豫报备二维码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Chars="200" w:right="0" w:rightChars="0"/>
        <w:rPr>
          <w:rFonts w:hint="default" w:ascii="仿宋" w:hAnsi="仿宋" w:eastAsia="仿宋" w:cs="仿宋"/>
          <w:color w:val="000008"/>
          <w:kern w:val="0"/>
          <w:sz w:val="31"/>
          <w:szCs w:val="31"/>
          <w:lang w:val="en-US" w:eastAsia="zh-CN" w:bidi="ar"/>
        </w:rPr>
      </w:pPr>
      <w:r>
        <w:rPr>
          <w:rFonts w:hint="default" w:ascii="仿宋" w:hAnsi="仿宋" w:eastAsia="仿宋" w:cs="仿宋"/>
          <w:color w:val="000008"/>
          <w:kern w:val="0"/>
          <w:sz w:val="31"/>
          <w:szCs w:val="31"/>
          <w:lang w:val="en-US" w:eastAsia="zh-CN" w:bidi="ar"/>
        </w:rPr>
        <w:drawing>
          <wp:inline distT="0" distB="0" distL="114300" distR="114300">
            <wp:extent cx="4762500" cy="4762500"/>
            <wp:effectExtent l="0" t="0" r="0" b="0"/>
            <wp:docPr id="2" name="图片 2" descr="9e34c7af5bcacad485cb52a42ab2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e34c7af5bcacad485cb52a42ab212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476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ascii="Microsoft YaHei UI" w:hAnsi="Microsoft YaHei UI" w:eastAsia="Microsoft YaHei UI" w:cs="Microsoft YaHei UI"/>
          <w:i w:val="0"/>
          <w:iCs w:val="0"/>
          <w:caps w:val="0"/>
          <w:color w:val="222222"/>
          <w:spacing w:val="8"/>
          <w:sz w:val="25"/>
          <w:szCs w:val="25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ind w:firstLine="640" w:firstLineChars="200"/>
        <w:jc w:val="righ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中站区新冠肺炎疫情防控指挥部办公室</w:t>
      </w:r>
    </w:p>
    <w:p>
      <w:pPr>
        <w:ind w:firstLine="640" w:firstLineChars="200"/>
        <w:jc w:val="righ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2022年4月3日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Bahnschrift SemiBold 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  <w:font w:name="Javanese Text">
    <w:panose1 w:val="02000000000000000000"/>
    <w:charset w:val="00"/>
    <w:family w:val="auto"/>
    <w:pitch w:val="default"/>
    <w:sig w:usb0="80000003" w:usb1="00002000" w:usb2="00000000" w:usb3="00000000" w:csb0="00000001" w:csb1="00000000"/>
  </w:font>
  <w:font w:name="HoloLens MDL2 Assets">
    <w:panose1 w:val="050A0102010101010101"/>
    <w:charset w:val="00"/>
    <w:family w:val="auto"/>
    <w:pitch w:val="default"/>
    <w:sig w:usb0="00000000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CC6674"/>
    <w:multiLevelType w:val="singleLevel"/>
    <w:tmpl w:val="6DCC667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E7199B"/>
    <w:rsid w:val="3DE7199B"/>
    <w:rsid w:val="5B9B0676"/>
    <w:rsid w:val="5F975365"/>
    <w:rsid w:val="7D427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524</Words>
  <Characters>639</Characters>
  <Lines>0</Lines>
  <Paragraphs>0</Paragraphs>
  <TotalTime>2</TotalTime>
  <ScaleCrop>false</ScaleCrop>
  <LinksUpToDate>false</LinksUpToDate>
  <CharactersWithSpaces>639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2022-04-03T02:55:00Z</dcterms:created>
  <dc:creator>阳光大侠</dc:creator>
  <cp:lastModifiedBy>阳光大侠</cp:lastModifiedBy>
  <dcterms:modified xsi:type="dcterms:W3CDTF">2022-04-03T08:38:01Z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46FE0B5EF277431F87492C33A08A2DA3</vt:lpwstr>
  </property>
</Properties>
</file>