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36" w:lineRule="exact"/>
        <w:ind w:right="3577"/>
        <w:jc w:val="center"/>
        <w:rPr>
          <w:rFonts w:ascii="Microsoft JhengHei" w:eastAsia="Microsoft JhengHei"/>
          <w:sz w:val="32"/>
        </w:rPr>
        <w:sectPr>
          <w:pgSz w:w="16840" w:h="11910" w:orient="landscape"/>
          <w:pgMar w:top="624" w:right="181" w:bottom="278" w:left="198" w:header="720" w:footer="720" w:gutter="0"/>
          <w:cols w:space="720" w:num="1"/>
        </w:sectPr>
      </w:pPr>
      <w:r>
        <w:pict>
          <v:shape id="文本框 92" o:spid="_x0000_s1026" o:spt="202" type="#_x0000_t202" style="position:absolute;left:0pt;margin-left:59.25pt;margin-top:24.25pt;height:471.9pt;width:735pt;mso-position-horizontal-relative:page;z-index:251746304;mso-width-relative:page;mso-height-relative:page;" filled="f" stroked="f" coordsize="21600,21600" o:gfxdata="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/Q1BtkAAAALAQAADwAAAAAAAAABACAAAAAiAAAAZHJzL2Rvd25yZXYueG1s&#10;UEsBAhQAFAAAAAgAh07iQGxojAy+AQAAdgMAAA4AAAAAAAAAAQAgAAAAKAEAAGRycy9lMm9Eb2Mu&#10;eG1sUEsFBgAAAAAGAAYAWQEAAFgFAAAAAA==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0" w:type="auto"/>
                    <w:jc w:val="center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39"/>
                    <w:gridCol w:w="515"/>
                    <w:gridCol w:w="574"/>
                    <w:gridCol w:w="2780"/>
                    <w:gridCol w:w="1886"/>
                    <w:gridCol w:w="2021"/>
                    <w:gridCol w:w="1911"/>
                    <w:gridCol w:w="968"/>
                    <w:gridCol w:w="694"/>
                    <w:gridCol w:w="905"/>
                    <w:gridCol w:w="298"/>
                    <w:gridCol w:w="384"/>
                    <w:gridCol w:w="299"/>
                    <w:gridCol w:w="304"/>
                    <w:gridCol w:w="306"/>
                    <w:gridCol w:w="507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7" w:hRule="atLeast"/>
                      <w:jc w:val="center"/>
                    </w:trPr>
                    <w:tc>
                      <w:tcPr>
                        <w:tcW w:w="339" w:type="dxa"/>
                        <w:vMerge w:val="restart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17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序号</w:t>
                        </w:r>
                      </w:p>
                    </w:tc>
                    <w:tc>
                      <w:tcPr>
                        <w:tcW w:w="1089" w:type="dxa"/>
                        <w:gridSpan w:val="2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公开事项</w:t>
                        </w:r>
                      </w:p>
                    </w:tc>
                    <w:tc>
                      <w:tcPr>
                        <w:tcW w:w="2780" w:type="dxa"/>
                        <w:vMerge w:val="restart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公开内容（要素）</w:t>
                        </w:r>
                      </w:p>
                    </w:tc>
                    <w:tc>
                      <w:tcPr>
                        <w:tcW w:w="1886" w:type="dxa"/>
                        <w:vMerge w:val="restart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公开依据</w:t>
                        </w:r>
                      </w:p>
                    </w:tc>
                    <w:tc>
                      <w:tcPr>
                        <w:tcW w:w="2021" w:type="dxa"/>
                        <w:vMerge w:val="restart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公开时限</w:t>
                        </w:r>
                      </w:p>
                    </w:tc>
                    <w:tc>
                      <w:tcPr>
                        <w:tcW w:w="1911" w:type="dxa"/>
                        <w:vMerge w:val="restart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公开主体</w:t>
                        </w:r>
                      </w:p>
                    </w:tc>
                    <w:tc>
                      <w:tcPr>
                        <w:tcW w:w="968" w:type="dxa"/>
                        <w:vMerge w:val="restart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公开渠道和载体</w:t>
                        </w:r>
                      </w:p>
                    </w:tc>
                    <w:tc>
                      <w:tcPr>
                        <w:tcW w:w="1599" w:type="dxa"/>
                        <w:gridSpan w:val="2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公开对象</w:t>
                        </w:r>
                      </w:p>
                    </w:tc>
                    <w:tc>
                      <w:tcPr>
                        <w:tcW w:w="682" w:type="dxa"/>
                        <w:gridSpan w:val="2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公开方式</w:t>
                        </w:r>
                      </w:p>
                    </w:tc>
                    <w:tc>
                      <w:tcPr>
                        <w:tcW w:w="909" w:type="dxa"/>
                        <w:gridSpan w:val="3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公开层级</w:t>
                        </w:r>
                      </w:p>
                    </w:tc>
                    <w:tc>
                      <w:tcPr>
                        <w:tcW w:w="507" w:type="dxa"/>
                        <w:vMerge w:val="restart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11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牵头部门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79" w:hRule="atLeast"/>
                      <w:jc w:val="center"/>
                    </w:trPr>
                    <w:tc>
                      <w:tcPr>
                        <w:tcW w:w="339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>
                        <w:pPr>
                          <w:pStyle w:val="9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一级</w:t>
                        </w:r>
                      </w:p>
                      <w:p>
                        <w:pPr>
                          <w:pStyle w:val="9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事项</w:t>
                        </w:r>
                      </w:p>
                    </w:tc>
                    <w:tc>
                      <w:tcPr>
                        <w:tcW w:w="574" w:type="dxa"/>
                      </w:tcPr>
                      <w:p>
                        <w:pPr>
                          <w:pStyle w:val="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二</w:t>
                        </w:r>
                        <w:r>
                          <w:rPr>
                            <w:rFonts w:hint="eastAsia"/>
                            <w:b/>
                            <w:sz w:val="20"/>
                          </w:rPr>
                          <w:t>级</w:t>
                        </w:r>
                        <w:r>
                          <w:rPr>
                            <w:b/>
                            <w:sz w:val="20"/>
                          </w:rPr>
                          <w:t>事项</w:t>
                        </w:r>
                      </w:p>
                    </w:tc>
                    <w:tc>
                      <w:tcPr>
                        <w:tcW w:w="2780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86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21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11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68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94" w:type="dxa"/>
                      </w:tcPr>
                      <w:p>
                        <w:pPr>
                          <w:pStyle w:val="9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全社会</w:t>
                        </w:r>
                      </w:p>
                    </w:tc>
                    <w:tc>
                      <w:tcPr>
                        <w:tcW w:w="905" w:type="dxa"/>
                      </w:tcPr>
                      <w:p>
                        <w:pPr>
                          <w:pStyle w:val="9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特定群体</w:t>
                        </w:r>
                      </w:p>
                    </w:tc>
                    <w:tc>
                      <w:tcPr>
                        <w:tcW w:w="298" w:type="dxa"/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主动</w:t>
                        </w:r>
                      </w:p>
                    </w:tc>
                    <w:tc>
                      <w:tcPr>
                        <w:tcW w:w="384" w:type="dxa"/>
                      </w:tcPr>
                      <w:p>
                        <w:pPr>
                          <w:pStyle w:val="9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依申请</w:t>
                        </w:r>
                      </w:p>
                    </w:tc>
                    <w:tc>
                      <w:tcPr>
                        <w:tcW w:w="299" w:type="dxa"/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市级</w:t>
                        </w:r>
                      </w:p>
                    </w:tc>
                    <w:tc>
                      <w:tcPr>
                        <w:tcW w:w="304" w:type="dxa"/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镇级</w:t>
                        </w:r>
                      </w:p>
                    </w:tc>
                    <w:tc>
                      <w:tcPr>
                        <w:tcW w:w="305" w:type="dxa"/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黑体" w:eastAsia="黑体"/>
                            <w:b/>
                            <w:sz w:val="20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20"/>
                          </w:rPr>
                          <w:t>村级</w:t>
                        </w:r>
                      </w:p>
                    </w:tc>
                    <w:tc>
                      <w:tcPr>
                        <w:tcW w:w="507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985" w:hRule="atLeast"/>
                      <w:jc w:val="center"/>
                    </w:trPr>
                    <w:tc>
                      <w:tcPr>
                        <w:tcW w:w="339" w:type="dxa"/>
                        <w:vMerge w:val="restart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12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515" w:type="dxa"/>
                        <w:vMerge w:val="restart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征地</w:t>
                        </w:r>
                      </w:p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前期准备</w:t>
                        </w:r>
                      </w:p>
                    </w:tc>
                    <w:tc>
                      <w:tcPr>
                        <w:tcW w:w="574" w:type="dxa"/>
                        <w:vMerge w:val="restart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土地征收启动公告</w:t>
                        </w:r>
                      </w:p>
                    </w:tc>
                    <w:tc>
                      <w:tcPr>
                        <w:tcW w:w="2780" w:type="dxa"/>
                        <w:vMerge w:val="restart"/>
                      </w:tcPr>
                      <w:p>
                        <w:pPr>
                          <w:pStyle w:val="9"/>
                          <w:tabs>
                            <w:tab w:val="left" w:pos="217"/>
                          </w:tabs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在拟征收土地前，应明确征收土地有关事项并以公开。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1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拟征收土地目的和用途；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1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拟征收土地的位置和范围；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1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开展土地现状调查的安排；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1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拟征收土地的原用途管控（包括不得抢栽、抢种、抢建等有关规定）</w:t>
                        </w:r>
                      </w:p>
                    </w:tc>
                    <w:tc>
                      <w:tcPr>
                        <w:tcW w:w="1886" w:type="dxa"/>
                        <w:vMerge w:val="restart"/>
                        <w:tcBorders>
                          <w:right w:val="single" w:color="auto" w:sz="4" w:space="0"/>
                        </w:tcBorders>
                      </w:tcPr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19"/>
                          </w:rPr>
                        </w:pPr>
                      </w:p>
                      <w:p>
                        <w:pPr>
                          <w:jc w:val="center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《国务院关于深化改革严格土地管理的决定》（国发（</w:t>
                        </w: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2004）28号</w:t>
                        </w:r>
                      </w:p>
                    </w:tc>
                    <w:tc>
                      <w:tcPr>
                        <w:tcW w:w="2021" w:type="dxa"/>
                        <w:tcBorders>
                          <w:left w:val="single" w:color="auto" w:sz="4" w:space="0"/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在实施启动拟征收土地工作时，在村公示栏公开。</w:t>
                        </w:r>
                      </w:p>
                    </w:tc>
                    <w:tc>
                      <w:tcPr>
                        <w:tcW w:w="1911" w:type="dxa"/>
                        <w:vMerge w:val="restart"/>
                      </w:tcPr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中站区人民政府和负责实施农村集体土地征收的有关部门（含乡镇政府等）</w:t>
                        </w:r>
                      </w:p>
                    </w:tc>
                    <w:tc>
                      <w:tcPr>
                        <w:tcW w:w="968" w:type="dxa"/>
                        <w:vMerge w:val="restart"/>
                      </w:tcPr>
                      <w:p>
                        <w:pPr>
                          <w:pStyle w:val="9"/>
                          <w:numPr>
                            <w:ilvl w:val="0"/>
                            <w:numId w:val="2"/>
                          </w:numPr>
                          <w:tabs>
                            <w:tab w:val="left" w:pos="1613"/>
                          </w:tabs>
                          <w:rPr>
                            <w:spacing w:val="5"/>
                            <w:sz w:val="20"/>
                          </w:rPr>
                        </w:pPr>
                        <w:r>
                          <w:rPr>
                            <w:spacing w:val="5"/>
                            <w:sz w:val="20"/>
                          </w:rPr>
                          <w:t xml:space="preserve">政府网站     </w:t>
                        </w:r>
                        <w:r>
                          <w:rPr>
                            <w:rFonts w:hint="eastAsia"/>
                            <w:spacing w:val="5"/>
                            <w:sz w:val="20"/>
                          </w:rPr>
                          <w:t>征地信息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2"/>
                          </w:numPr>
                          <w:tabs>
                            <w:tab w:val="left" w:pos="1613"/>
                          </w:tabs>
                          <w:rPr>
                            <w:spacing w:val="5"/>
                            <w:sz w:val="20"/>
                          </w:rPr>
                        </w:pPr>
                        <w:r>
                          <w:rPr>
                            <w:rFonts w:hint="eastAsia"/>
                            <w:spacing w:val="5"/>
                            <w:sz w:val="20"/>
                          </w:rPr>
                          <w:t>村公示栏</w:t>
                        </w:r>
                      </w:p>
                    </w:tc>
                    <w:tc>
                      <w:tcPr>
                        <w:tcW w:w="694" w:type="dxa"/>
                        <w:vMerge w:val="restart"/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2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√</w:t>
                        </w:r>
                      </w:p>
                    </w:tc>
                    <w:tc>
                      <w:tcPr>
                        <w:tcW w:w="905" w:type="dxa"/>
                        <w:vMerge w:val="restart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98" w:type="dxa"/>
                        <w:vMerge w:val="restart"/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2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√</w:t>
                        </w:r>
                      </w:p>
                    </w:tc>
                    <w:tc>
                      <w:tcPr>
                        <w:tcW w:w="384" w:type="dxa"/>
                        <w:vMerge w:val="restart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99" w:type="dxa"/>
                        <w:vMerge w:val="restart"/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2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√</w:t>
                        </w:r>
                      </w:p>
                    </w:tc>
                    <w:tc>
                      <w:tcPr>
                        <w:tcW w:w="304" w:type="dxa"/>
                        <w:vMerge w:val="restart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vMerge w:val="restart"/>
                      </w:tcPr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√</w:t>
                        </w:r>
                      </w:p>
                    </w:tc>
                    <w:tc>
                      <w:tcPr>
                        <w:tcW w:w="507" w:type="dxa"/>
                        <w:vMerge w:val="restart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325" w:hRule="atLeast"/>
                      <w:jc w:val="center"/>
                    </w:trPr>
                    <w:tc>
                      <w:tcPr>
                        <w:tcW w:w="339" w:type="dxa"/>
                        <w:vMerge w:val="continue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w w:val="99"/>
                            <w:sz w:val="20"/>
                          </w:rPr>
                        </w:pPr>
                      </w:p>
                    </w:tc>
                    <w:tc>
                      <w:tcPr>
                        <w:tcW w:w="515" w:type="dxa"/>
                        <w:vMerge w:val="continue"/>
                        <w:tcBorders>
                          <w:bottom w:val="single" w:color="auto" w:sz="4" w:space="0"/>
                        </w:tcBorders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74" w:type="dxa"/>
                        <w:vMerge w:val="continue"/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80" w:type="dxa"/>
                        <w:vMerge w:val="continue"/>
                      </w:tcPr>
                      <w:p>
                        <w:pPr>
                          <w:pStyle w:val="9"/>
                          <w:numPr>
                            <w:ilvl w:val="0"/>
                            <w:numId w:val="1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1886" w:type="dxa"/>
                        <w:vMerge w:val="continue"/>
                        <w:tcBorders>
                          <w:right w:val="single" w:color="auto" w:sz="4" w:space="0"/>
                        </w:tcBorders>
                      </w:tcPr>
                      <w:p>
                        <w:pPr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21" w:type="dxa"/>
                        <w:tcBorders>
                          <w:top w:val="single" w:color="auto" w:sz="4" w:space="0"/>
                          <w:left w:val="single" w:color="auto" w:sz="4" w:space="0"/>
                        </w:tcBorders>
                      </w:tcPr>
                      <w:p>
                        <w:pPr>
                          <w:pStyle w:val="9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 xml:space="preserve">   收到征地批准文件之日起10个工作日内，在政府网站、征地信息公开平台公开。</w:t>
                        </w:r>
                      </w:p>
                    </w:tc>
                    <w:tc>
                      <w:tcPr>
                        <w:tcW w:w="1911" w:type="dxa"/>
                        <w:vMerge w:val="continue"/>
                      </w:tcPr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68" w:type="dxa"/>
                        <w:vMerge w:val="continue"/>
                      </w:tcPr>
                      <w:p>
                        <w:pPr>
                          <w:pStyle w:val="9"/>
                          <w:tabs>
                            <w:tab w:val="left" w:pos="1613"/>
                          </w:tabs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94" w:type="dxa"/>
                        <w:vMerge w:val="continue"/>
                      </w:tcPr>
                      <w:p>
                        <w:pPr>
                          <w:pStyle w:val="9"/>
                          <w:jc w:val="center"/>
                          <w:rPr>
                            <w:w w:val="99"/>
                            <w:sz w:val="20"/>
                          </w:rPr>
                        </w:pPr>
                      </w:p>
                    </w:tc>
                    <w:tc>
                      <w:tcPr>
                        <w:tcW w:w="905" w:type="dxa"/>
                        <w:vMerge w:val="continue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98" w:type="dxa"/>
                        <w:vMerge w:val="continue"/>
                      </w:tcPr>
                      <w:p>
                        <w:pPr>
                          <w:pStyle w:val="9"/>
                          <w:jc w:val="center"/>
                          <w:rPr>
                            <w:w w:val="99"/>
                            <w:sz w:val="20"/>
                          </w:rPr>
                        </w:pPr>
                      </w:p>
                    </w:tc>
                    <w:tc>
                      <w:tcPr>
                        <w:tcW w:w="384" w:type="dxa"/>
                        <w:vMerge w:val="continue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99" w:type="dxa"/>
                        <w:vMerge w:val="continue"/>
                      </w:tcPr>
                      <w:p>
                        <w:pPr>
                          <w:pStyle w:val="9"/>
                          <w:jc w:val="center"/>
                          <w:rPr>
                            <w:w w:val="99"/>
                            <w:sz w:val="20"/>
                          </w:rPr>
                        </w:pPr>
                      </w:p>
                    </w:tc>
                    <w:tc>
                      <w:tcPr>
                        <w:tcW w:w="304" w:type="dxa"/>
                        <w:vMerge w:val="continue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vMerge w:val="continue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07" w:type="dxa"/>
                        <w:vMerge w:val="continue"/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262" w:hRule="atLeast"/>
                      <w:jc w:val="center"/>
                    </w:trPr>
                    <w:tc>
                      <w:tcPr>
                        <w:tcW w:w="339" w:type="dxa"/>
                        <w:tcBorders>
                          <w:bottom w:val="single" w:color="auto" w:sz="4" w:space="0"/>
                        </w:tcBorders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rFonts w:ascii="Microsoft JhengHei"/>
                            <w:b/>
                            <w:sz w:val="10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color="auto" w:sz="4" w:space="0"/>
                          <w:bottom w:val="single" w:color="auto" w:sz="4" w:space="0"/>
                        </w:tcBorders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征地</w:t>
                        </w:r>
                      </w:p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前期</w:t>
                        </w:r>
                      </w:p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准备</w:t>
                        </w:r>
                      </w:p>
                    </w:tc>
                    <w:tc>
                      <w:tcPr>
                        <w:tcW w:w="574" w:type="dxa"/>
                        <w:tcBorders>
                          <w:bottom w:val="single" w:color="auto" w:sz="4" w:space="0"/>
                        </w:tcBorders>
                        <w:vAlign w:val="center"/>
                      </w:tcPr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征地补偿登记</w:t>
                        </w:r>
                      </w:p>
                    </w:tc>
                    <w:tc>
                      <w:tcPr>
                        <w:tcW w:w="2780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tabs>
                            <w:tab w:val="left" w:pos="217"/>
                          </w:tabs>
                          <w:ind w:firstLine="400" w:firstLineChars="200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征收</w:t>
                        </w: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补偿安置方案公告期满后，区人民政府和负责农村集体土地征收的有关部门拟定《征地补偿安置方案》并予以公开。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3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被征收土地的位置、地类、面积，地上附着物和青苗的种类、数量、需要安置的农业人口和数量；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3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土地补偿费和安置补助费的标准、数额、支付对象和支付方式；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3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地上附着物和青苗的补偿标准和支付方式；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3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社会保障费用的筹集方法、缴费比例的办法；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3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农业人员安置具体途径；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3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其他有关征地补偿、安置的具体措施；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3"/>
                          </w:numPr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听证等登记汇总表。</w:t>
                        </w:r>
                      </w:p>
                      <w:p>
                        <w:pPr>
                          <w:pStyle w:val="9"/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1886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Cs/>
                            <w:sz w:val="20"/>
                          </w:rPr>
                        </w:pPr>
                        <w:r>
                          <w:rPr>
                            <w:rFonts w:hint="eastAsia" w:ascii="Microsoft JhengHei"/>
                            <w:bCs/>
                            <w:sz w:val="20"/>
                            <w:lang w:val="en-US"/>
                          </w:rPr>
                          <w:t>1、</w:t>
                        </w:r>
                        <w:r>
                          <w:rPr>
                            <w:rFonts w:hint="eastAsia" w:ascii="Microsoft JhengHei"/>
                            <w:bCs/>
                            <w:sz w:val="20"/>
                          </w:rPr>
                          <w:t>《中华人民共和国政府信息公开条例》</w:t>
                        </w:r>
                      </w:p>
                      <w:p>
                        <w:pPr>
                          <w:pStyle w:val="9"/>
                          <w:rPr>
                            <w:rFonts w:ascii="Microsoft JhengHei"/>
                            <w:bCs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9"/>
                          </w:rPr>
                        </w:pPr>
                      </w:p>
                      <w:p>
                        <w:pPr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2、《自然资源听证规定》</w:t>
                        </w:r>
                      </w:p>
                    </w:tc>
                    <w:tc>
                      <w:tcPr>
                        <w:tcW w:w="2021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jc w:val="bot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bot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bot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拟定《征地补偿安置方案》后</w:t>
                        </w:r>
                        <w:r>
                          <w:rPr>
                            <w:rFonts w:hint="eastAsia"/>
                            <w:sz w:val="20"/>
                            <w:lang w:val="en-US"/>
                          </w:rPr>
                          <w:t>5个工作日内公开。公示结束后转为依申请公开。</w:t>
                        </w:r>
                      </w:p>
                    </w:tc>
                    <w:tc>
                      <w:tcPr>
                        <w:tcW w:w="1911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3"/>
                          </w:rPr>
                        </w:pPr>
                      </w:p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中站区人民政府和负责实施农村集体土地征收的有关部门（含乡镇政府等）</w:t>
                        </w:r>
                      </w:p>
                    </w:tc>
                    <w:tc>
                      <w:tcPr>
                        <w:tcW w:w="968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3"/>
                          </w:rPr>
                        </w:pPr>
                      </w:p>
                      <w:p>
                        <w:pPr>
                          <w:pStyle w:val="9"/>
                          <w:tabs>
                            <w:tab w:val="left" w:pos="1613"/>
                          </w:tabs>
                          <w:rPr>
                            <w:spacing w:val="5"/>
                            <w:sz w:val="20"/>
                          </w:rPr>
                        </w:pPr>
                        <w:r>
                          <w:rPr>
                            <w:rFonts w:hint="eastAsia"/>
                            <w:spacing w:val="5"/>
                            <w:sz w:val="20"/>
                            <w:lang w:val="en-US"/>
                          </w:rPr>
                          <w:t>1、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政府网站     </w:t>
                        </w:r>
                        <w:r>
                          <w:rPr>
                            <w:rFonts w:hint="eastAsia"/>
                            <w:spacing w:val="5"/>
                            <w:sz w:val="20"/>
                          </w:rPr>
                          <w:t>征地信息</w:t>
                        </w:r>
                      </w:p>
                      <w:p>
                        <w:pPr>
                          <w:pStyle w:val="9"/>
                          <w:tabs>
                            <w:tab w:val="left" w:pos="1613"/>
                          </w:tabs>
                          <w:rPr>
                            <w:spacing w:val="5"/>
                            <w:sz w:val="20"/>
                          </w:rPr>
                        </w:pPr>
                        <w:r>
                          <w:rPr>
                            <w:rFonts w:hint="eastAsia"/>
                            <w:spacing w:val="5"/>
                            <w:sz w:val="20"/>
                            <w:lang w:val="en-US"/>
                          </w:rPr>
                          <w:t>2、</w:t>
                        </w:r>
                        <w:r>
                          <w:rPr>
                            <w:rFonts w:hint="eastAsia"/>
                            <w:spacing w:val="5"/>
                            <w:sz w:val="20"/>
                          </w:rPr>
                          <w:t>村公示栏</w:t>
                        </w:r>
                      </w:p>
                    </w:tc>
                    <w:tc>
                      <w:tcPr>
                        <w:tcW w:w="694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2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√</w:t>
                        </w:r>
                      </w:p>
                    </w:tc>
                    <w:tc>
                      <w:tcPr>
                        <w:tcW w:w="905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98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2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√</w:t>
                        </w:r>
                      </w:p>
                    </w:tc>
                    <w:tc>
                      <w:tcPr>
                        <w:tcW w:w="384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Microsoft JhengHei"/>
                            <w:b/>
                            <w:sz w:val="12"/>
                          </w:rPr>
                        </w:pPr>
                      </w:p>
                      <w:p>
                        <w:pPr>
                          <w:pStyle w:val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√</w:t>
                        </w:r>
                      </w:p>
                    </w:tc>
                    <w:tc>
                      <w:tcPr>
                        <w:tcW w:w="304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√</w:t>
                        </w:r>
                      </w:p>
                    </w:tc>
                    <w:tc>
                      <w:tcPr>
                        <w:tcW w:w="507" w:type="dxa"/>
                        <w:tcBorders>
                          <w:bottom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1" w:hRule="atLeast"/>
                      <w:jc w:val="center"/>
                    </w:trPr>
                    <w:tc>
                      <w:tcPr>
                        <w:tcW w:w="339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</w:tc>
                    <w:tc>
                      <w:tcPr>
                        <w:tcW w:w="515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tabs>
                            <w:tab w:val="left" w:pos="217"/>
                          </w:tabs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1886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2021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911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68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tabs>
                            <w:tab w:val="left" w:pos="1613"/>
                          </w:tabs>
                          <w:rPr>
                            <w:spacing w:val="5"/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694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jc w:val="center"/>
                          <w:rPr>
                            <w:w w:val="99"/>
                            <w:sz w:val="20"/>
                          </w:rPr>
                        </w:pPr>
                      </w:p>
                    </w:tc>
                    <w:tc>
                      <w:tcPr>
                        <w:tcW w:w="905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98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jc w:val="center"/>
                          <w:rPr>
                            <w:w w:val="99"/>
                            <w:sz w:val="20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jc w:val="center"/>
                          <w:rPr>
                            <w:w w:val="99"/>
                            <w:sz w:val="20"/>
                          </w:rPr>
                        </w:pPr>
                      </w:p>
                    </w:tc>
                    <w:tc>
                      <w:tcPr>
                        <w:tcW w:w="304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w w:val="99"/>
                            <w:sz w:val="20"/>
                          </w:rPr>
                        </w:pPr>
                      </w:p>
                    </w:tc>
                    <w:tc>
                      <w:tcPr>
                        <w:tcW w:w="507" w:type="dxa"/>
                        <w:tcBorders>
                          <w:top w:val="single" w:color="auto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</v:shape>
        </w:pict>
      </w:r>
      <w:bookmarkStart w:id="0" w:name="11区国有土地上房屋征收与补偿领域"/>
      <w:bookmarkEnd w:id="0"/>
      <w:r>
        <w:rPr>
          <w:rFonts w:hint="eastAsia" w:ascii="Microsoft JhengHei"/>
          <w:b/>
          <w:sz w:val="32"/>
          <w:lang w:val="en-US" w:eastAsia="zh-CN"/>
        </w:rPr>
        <w:t xml:space="preserve">                                                </w:t>
      </w:r>
      <w:bookmarkStart w:id="1" w:name="_GoBack"/>
      <w:bookmarkEnd w:id="1"/>
      <w:r>
        <w:rPr>
          <w:rFonts w:hint="eastAsia" w:ascii="Microsoft JhengHei"/>
          <w:b/>
          <w:sz w:val="32"/>
          <w:lang w:val="en-US"/>
        </w:rPr>
        <w:t>中站区农村集体土地征收</w:t>
      </w:r>
      <w:r>
        <w:rPr>
          <w:rFonts w:hint="eastAsia" w:ascii="Microsoft JhengHei" w:eastAsia="Microsoft JhengHei"/>
          <w:b/>
          <w:sz w:val="32"/>
        </w:rPr>
        <w:t>基层政务公开标准目录</w:t>
      </w:r>
    </w:p>
    <w:p/>
    <w:sectPr>
      <w:pgSz w:w="16840" w:h="11910" w:orient="landscape"/>
      <w:pgMar w:top="1100" w:right="180" w:bottom="280" w:left="2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248BA2"/>
    <w:multiLevelType w:val="singleLevel"/>
    <w:tmpl w:val="C9248BA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8DFDB9A"/>
    <w:multiLevelType w:val="singleLevel"/>
    <w:tmpl w:val="18DFDB9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A84DD6F"/>
    <w:multiLevelType w:val="singleLevel"/>
    <w:tmpl w:val="6A84DD6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9C1CB0"/>
    <w:rsid w:val="00365968"/>
    <w:rsid w:val="004366B3"/>
    <w:rsid w:val="005D0935"/>
    <w:rsid w:val="00915010"/>
    <w:rsid w:val="009C1CB0"/>
    <w:rsid w:val="00AA0AFF"/>
    <w:rsid w:val="00BF345C"/>
    <w:rsid w:val="02393048"/>
    <w:rsid w:val="06C03634"/>
    <w:rsid w:val="1ED60D41"/>
    <w:rsid w:val="21B94FC5"/>
    <w:rsid w:val="22A91C8C"/>
    <w:rsid w:val="283C0CF5"/>
    <w:rsid w:val="2CFA3C5A"/>
    <w:rsid w:val="351E47FF"/>
    <w:rsid w:val="422B1B37"/>
    <w:rsid w:val="542062F5"/>
    <w:rsid w:val="553D31D6"/>
    <w:rsid w:val="57746F7C"/>
    <w:rsid w:val="64D1613A"/>
    <w:rsid w:val="67532BB5"/>
    <w:rsid w:val="6C565F21"/>
    <w:rsid w:val="74132D7B"/>
    <w:rsid w:val="74C07A6E"/>
    <w:rsid w:val="751C13AE"/>
    <w:rsid w:val="7A81333B"/>
    <w:rsid w:val="7D81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536" w:lineRule="exact"/>
      <w:ind w:left="3562" w:right="3577"/>
      <w:jc w:val="center"/>
      <w:outlineLvl w:val="0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731"/>
      <w:outlineLvl w:val="1"/>
    </w:pPr>
    <w:rPr>
      <w:rFonts w:ascii="黑体" w:hAnsi="黑体" w:eastAsia="黑体" w:cs="黑体"/>
      <w:b/>
      <w:bCs/>
      <w:sz w:val="20"/>
      <w:szCs w:val="20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0"/>
      <w:szCs w:val="20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303" w:hanging="203"/>
    </w:pPr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</Words>
  <Characters>40</Characters>
  <Lines>1</Lines>
  <Paragraphs>1</Paragraphs>
  <TotalTime>15</TotalTime>
  <ScaleCrop>false</ScaleCrop>
  <LinksUpToDate>false</LinksUpToDate>
  <CharactersWithSpaces>45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2020-11-03T02:13:00Z</dcterms:created>
  <dc:creator>笑傲江湖</dc:creator>
  <cp:lastModifiedBy>郑凯</cp:lastModifiedBy>
  <dcterms:modified xsi:type="dcterms:W3CDTF">2020-12-14T02:21:37Z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2020-06-30T00:00:00Z</vt:filetime>
  </property>
  <property fmtid="{D5CDD505-2E9C-101B-9397-08002B2CF9AE}" pid="3" name="Creator">
    <vt:lpwstr>Adobe Acrobat Pro DC 18.11.20055</vt:lpwstr>
  </property>
  <property fmtid="{D5CDD505-2E9C-101B-9397-08002B2CF9AE}" pid="4" name="LastSaved">
    <vt:filetime>2020-08-14T00:00:00Z</vt:filetime>
  </property>
  <property fmtid="{D5CDD505-2E9C-101B-9397-08002B2CF9AE}" pid="5" name="KSOProductBuildVer">
    <vt:lpwstr>2052-11.1.0.10132</vt:lpwstr>
  </property>
</Properties>
</file>